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Proposta comercial</w:t>
        <w:br/>
        <w:t>de patrocínio</w:t>
      </w:r>
    </w:p>
    <w:p>
      <w:pPr>
        <w:pStyle w:val="Subtitle"/>
      </w:pPr>
      <w:r>
        <w:t>LONGEVUS</w:t>
      </w:r>
    </w:p>
    <w:p>
      <w:r>
        <w:rPr>
          <w:b/>
        </w:rPr>
        <w:t>Dr. Marcos Ramalho em parceria com a Pace Lab</w:t>
      </w:r>
      <w:r/>
    </w:p>
    <w:p>
      <w:r>
        <w:t>O LONGEVUS é um evento do Dr. Marcos Ramalho, em parceria com a Pace Lab, dedicado à longevidade por meio de atividade física, educação e convivência. Convidamos marcas a integrar experiências presenciais, exposição planejada e conteúdo nas redes sociais.</w:t>
      </w:r>
    </w:p>
    <w:p>
      <w:r>
        <w:t>As oportunidades estão organizadas em três cotas: A Apresentadora, B Parceira de experiência e C Apoiadora. Cada nível oferece uma combinação própria de destaque, contato com os participantes e entregas de comunicação.</w:t>
      </w:r>
    </w:p>
    <w:p>
      <w:pPr>
        <w:pStyle w:val="Heading2"/>
      </w:pPr>
      <w:r>
        <w:t>Informações do evento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color="D9D9D9"/>
          <w:left w:val="single" w:sz="5" w:color="D9D9D9"/>
          <w:bottom w:val="single" w:sz="5" w:color="D9D9D9"/>
          <w:right w:val="single" w:sz="5" w:color="D9D9D9"/>
          <w:insideH w:val="single" w:sz="5" w:color="D9D9D9"/>
          <w:insideV w:val="single" w:sz="5" w:color="D9D9D9"/>
        </w:tblBorders>
      </w:tblPr>
      <w:tblGrid>
        <w:gridCol w:w="2952"/>
        <w:gridCol w:w="7214"/>
      </w:tblGrid>
      <w:tr>
        <w:trPr>
          <w:cantSplit/>
          <w:tblHeader/>
        </w:trPr>
        <w:tc>
          <w:tcPr>
            <w:tcW w:type="dxa" w:w="2952"/>
            <w:vAlign w:val="center"/>
            <w:tcMar>
              <w:top w:w="100" w:type="dxa"/>
              <w:left w:w="110" w:type="dxa"/>
              <w:bottom w:w="100" w:type="dxa"/>
              <w:right w:w="110" w:type="dxa"/>
            </w:tcMar>
            <w:shd w:fill="16385E"/>
          </w:tcPr>
          <w:p>
            <w:pPr>
              <w:spacing w:after="0" w:before="0" w:line="252" w:lineRule="auto"/>
              <w:jc w:val="left"/>
            </w:pPr>
            <w:r>
              <w:rPr>
                <w:rFonts w:ascii="Calibri" w:hAnsi="Calibri"/>
                <w:b/>
                <w:color w:val="FFFFFF"/>
                <w:sz w:val="21"/>
              </w:rPr>
              <w:t>Item</w:t>
            </w:r>
          </w:p>
        </w:tc>
        <w:tc>
          <w:tcPr>
            <w:tcW w:type="dxa" w:w="7214"/>
            <w:vAlign w:val="center"/>
            <w:tcMar>
              <w:top w:w="100" w:type="dxa"/>
              <w:left w:w="110" w:type="dxa"/>
              <w:bottom w:w="100" w:type="dxa"/>
              <w:right w:w="110" w:type="dxa"/>
            </w:tcMar>
            <w:shd w:fill="16385E"/>
          </w:tcPr>
          <w:p>
            <w:pPr>
              <w:spacing w:after="0" w:before="0" w:line="252" w:lineRule="auto"/>
              <w:jc w:val="left"/>
            </w:pPr>
            <w:r>
              <w:rPr>
                <w:rFonts w:ascii="Calibri" w:hAnsi="Calibri"/>
                <w:b/>
                <w:color w:val="FFFFFF"/>
                <w:sz w:val="21"/>
              </w:rPr>
              <w:t>Definição</w:t>
            </w:r>
          </w:p>
        </w:tc>
      </w:tr>
      <w:tr>
        <w:trPr>
          <w:cantSplit/>
        </w:trPr>
        <w:tc>
          <w:tcPr>
            <w:tcW w:type="dxa" w:w="2952"/>
            <w:vAlign w:val="center"/>
            <w:tcMar>
              <w:top w:w="100" w:type="dxa"/>
              <w:left w:w="110" w:type="dxa"/>
              <w:bottom w:w="100" w:type="dxa"/>
              <w:right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Calibri" w:hAnsi="Calibri"/>
                <w:b w:val="0"/>
                <w:color w:val="000000"/>
                <w:sz w:val="21"/>
              </w:rPr>
              <w:t>Ingresso individual</w:t>
            </w:r>
          </w:p>
        </w:tc>
        <w:tc>
          <w:tcPr>
            <w:tcW w:type="dxa" w:w="7214"/>
            <w:vAlign w:val="center"/>
            <w:tcMar>
              <w:top w:w="100" w:type="dxa"/>
              <w:left w:w="110" w:type="dxa"/>
              <w:bottom w:w="100" w:type="dxa"/>
              <w:right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Calibri" w:hAnsi="Calibri"/>
                <w:b w:val="0"/>
                <w:color w:val="000000"/>
                <w:sz w:val="21"/>
              </w:rPr>
              <w:t>R$ 300 por inscrito</w:t>
            </w:r>
          </w:p>
        </w:tc>
      </w:tr>
      <w:tr>
        <w:trPr>
          <w:cantSplit/>
        </w:trPr>
        <w:tc>
          <w:tcPr>
            <w:tcW w:type="dxa" w:w="2952"/>
            <w:vAlign w:val="center"/>
            <w:tcMar>
              <w:top w:w="100" w:type="dxa"/>
              <w:left w:w="110" w:type="dxa"/>
              <w:bottom w:w="100" w:type="dxa"/>
              <w:right w:w="110" w:type="dxa"/>
            </w:tcMar>
            <w:shd w:fill="F1F5F9"/>
          </w:tcPr>
          <w:p>
            <w:pPr>
              <w:spacing w:after="0" w:before="0" w:line="252" w:lineRule="auto"/>
              <w:jc w:val="left"/>
            </w:pPr>
            <w:r>
              <w:rPr>
                <w:rFonts w:ascii="Calibri" w:hAnsi="Calibri"/>
                <w:b w:val="0"/>
                <w:color w:val="000000"/>
                <w:sz w:val="21"/>
              </w:rPr>
              <w:t>Inclusões</w:t>
            </w:r>
          </w:p>
        </w:tc>
        <w:tc>
          <w:tcPr>
            <w:tcW w:type="dxa" w:w="7214"/>
            <w:vAlign w:val="center"/>
            <w:tcMar>
              <w:top w:w="100" w:type="dxa"/>
              <w:left w:w="110" w:type="dxa"/>
              <w:bottom w:w="100" w:type="dxa"/>
              <w:right w:w="110" w:type="dxa"/>
            </w:tcMar>
            <w:shd w:fill="F1F5F9"/>
          </w:tcPr>
          <w:p>
            <w:pPr>
              <w:spacing w:after="0" w:before="0" w:line="252" w:lineRule="auto"/>
              <w:jc w:val="left"/>
            </w:pPr>
            <w:r>
              <w:rPr>
                <w:rFonts w:ascii="Calibri" w:hAnsi="Calibri"/>
                <w:b w:val="0"/>
                <w:color w:val="000000"/>
                <w:sz w:val="21"/>
              </w:rPr>
              <w:t>Atividades e experiências da programação, café da manhã e almoço</w:t>
            </w:r>
          </w:p>
        </w:tc>
      </w:tr>
      <w:tr>
        <w:trPr>
          <w:cantSplit/>
        </w:trPr>
        <w:tc>
          <w:tcPr>
            <w:tcW w:type="dxa" w:w="2952"/>
            <w:vAlign w:val="center"/>
            <w:tcMar>
              <w:top w:w="100" w:type="dxa"/>
              <w:left w:w="110" w:type="dxa"/>
              <w:bottom w:w="100" w:type="dxa"/>
              <w:right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Calibri" w:hAnsi="Calibri"/>
                <w:b w:val="0"/>
                <w:color w:val="000000"/>
                <w:sz w:val="21"/>
              </w:rPr>
              <w:t>Bebidas</w:t>
            </w:r>
          </w:p>
        </w:tc>
        <w:tc>
          <w:tcPr>
            <w:tcW w:type="dxa" w:w="7214"/>
            <w:vAlign w:val="center"/>
            <w:tcMar>
              <w:top w:w="100" w:type="dxa"/>
              <w:left w:w="110" w:type="dxa"/>
              <w:bottom w:w="100" w:type="dxa"/>
              <w:right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Calibri" w:hAnsi="Calibri"/>
                <w:b w:val="0"/>
                <w:color w:val="000000"/>
                <w:sz w:val="21"/>
              </w:rPr>
              <w:t>Cobradas à parte</w:t>
            </w:r>
          </w:p>
        </w:tc>
      </w:tr>
      <w:tr>
        <w:trPr>
          <w:cantSplit/>
        </w:trPr>
        <w:tc>
          <w:tcPr>
            <w:tcW w:type="dxa" w:w="2952"/>
            <w:vAlign w:val="center"/>
            <w:tcMar>
              <w:top w:w="100" w:type="dxa"/>
              <w:left w:w="110" w:type="dxa"/>
              <w:bottom w:w="100" w:type="dxa"/>
              <w:right w:w="110" w:type="dxa"/>
            </w:tcMar>
            <w:shd w:fill="F1F5F9"/>
          </w:tcPr>
          <w:p>
            <w:pPr>
              <w:spacing w:after="0" w:before="0" w:line="252" w:lineRule="auto"/>
              <w:jc w:val="left"/>
            </w:pPr>
            <w:r>
              <w:rPr>
                <w:rFonts w:ascii="Calibri" w:hAnsi="Calibri"/>
                <w:b w:val="0"/>
                <w:color w:val="000000"/>
                <w:sz w:val="21"/>
              </w:rPr>
              <w:t>Data e local</w:t>
            </w:r>
          </w:p>
        </w:tc>
        <w:tc>
          <w:tcPr>
            <w:tcW w:type="dxa" w:w="7214"/>
            <w:vAlign w:val="center"/>
            <w:tcMar>
              <w:top w:w="100" w:type="dxa"/>
              <w:left w:w="110" w:type="dxa"/>
              <w:bottom w:w="100" w:type="dxa"/>
              <w:right w:w="110" w:type="dxa"/>
            </w:tcMar>
            <w:shd w:fill="F1F5F9"/>
          </w:tcPr>
          <w:p>
            <w:pPr>
              <w:spacing w:after="0" w:before="0" w:line="252" w:lineRule="auto"/>
              <w:jc w:val="left"/>
            </w:pPr>
            <w:r>
              <w:rPr>
                <w:rFonts w:ascii="Calibri" w:hAnsi="Calibri"/>
                <w:b w:val="0"/>
                <w:color w:val="000000"/>
                <w:sz w:val="21"/>
              </w:rPr>
              <w:t>28/11, a partir das 6h · Vivare Beach Club</w:t>
            </w:r>
          </w:p>
        </w:tc>
      </w:tr>
      <w:tr>
        <w:trPr>
          <w:cantSplit/>
        </w:trPr>
        <w:tc>
          <w:tcPr>
            <w:tcW w:type="dxa" w:w="2952"/>
            <w:vAlign w:val="center"/>
            <w:tcMar>
              <w:top w:w="100" w:type="dxa"/>
              <w:left w:w="110" w:type="dxa"/>
              <w:bottom w:w="100" w:type="dxa"/>
              <w:right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Calibri" w:hAnsi="Calibri"/>
                <w:b w:val="0"/>
                <w:color w:val="000000"/>
                <w:sz w:val="21"/>
              </w:rPr>
              <w:t>Capacidade e público estimado</w:t>
            </w:r>
          </w:p>
        </w:tc>
        <w:tc>
          <w:tcPr>
            <w:tcW w:type="dxa" w:w="7214"/>
            <w:vAlign w:val="center"/>
            <w:tcMar>
              <w:top w:w="100" w:type="dxa"/>
              <w:left w:w="110" w:type="dxa"/>
              <w:bottom w:w="100" w:type="dxa"/>
              <w:right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Calibri" w:hAnsi="Calibri"/>
                <w:b w:val="0"/>
                <w:color w:val="000000"/>
                <w:sz w:val="21"/>
              </w:rPr>
              <w:t>A definir</w:t>
            </w:r>
          </w:p>
        </w:tc>
      </w:tr>
    </w:tbl>
    <w:p>
      <w:pPr>
        <w:spacing w:after="0" w:before="0" w:line="240" w:lineRule="auto"/>
      </w:pPr>
      <w:r>
        <w:rPr>
          <w:sz w:val="6"/>
        </w:rPr>
      </w:r>
    </w:p>
    <w:p>
      <w:pPr>
        <w:pStyle w:val="Heading2"/>
      </w:pPr>
      <w:r>
        <w:t>Experiências previstas</w:t>
      </w:r>
    </w:p>
    <w:p>
      <w:pPr>
        <w:pStyle w:val="ListBullet"/>
        <w:spacing w:after="120" w:line="259" w:lineRule="auto"/>
      </w:pPr>
      <w:r>
        <w:rPr>
          <w:b/>
        </w:rPr>
        <w:t xml:space="preserve">Movimento e bem-estar. </w:t>
      </w:r>
      <w:r>
        <w:t>Aula de HYROX, yoga e espaço de fisioterapia, com orientação sobre a proposta de cada estação.</w:t>
      </w:r>
    </w:p>
    <w:p>
      <w:pPr>
        <w:pStyle w:val="ListBullet"/>
        <w:spacing w:after="120" w:line="259" w:lineRule="auto"/>
      </w:pPr>
      <w:r>
        <w:rPr>
          <w:b/>
        </w:rPr>
        <w:t xml:space="preserve">Educação para a longevidade. </w:t>
      </w:r>
      <w:r>
        <w:t>Conteúdos explicativos integrados às atividades e participação do Dr. Marcos Ramalho em formato a alinhar.</w:t>
      </w:r>
    </w:p>
    <w:p>
      <w:pPr>
        <w:pStyle w:val="ListBullet"/>
        <w:spacing w:after="120" w:line="259" w:lineRule="auto"/>
      </w:pPr>
      <w:r>
        <w:rPr>
          <w:b/>
        </w:rPr>
        <w:t xml:space="preserve">Gastronomia e convivência. </w:t>
      </w:r>
      <w:r>
        <w:t>Café da manhã, almoço, DJ e banda ao vivo ao longo da programação.</w:t>
      </w:r>
    </w:p>
    <w:p>
      <w:pPr>
        <w:pStyle w:val="ListBullet"/>
        <w:spacing w:after="120" w:line="259" w:lineRule="auto"/>
      </w:pPr>
      <w:r>
        <w:rPr>
          <w:b/>
        </w:rPr>
        <w:t xml:space="preserve">Marcas parceiras. </w:t>
      </w:r>
      <w:r>
        <w:t>Stands, demonstrações, experimentação de produtos e ações de relacionamento conforme a cota escolhida.</w:t>
      </w:r>
    </w:p>
    <w:p>
      <w:pPr>
        <w:spacing w:line="252" w:lineRule="auto"/>
      </w:pPr>
      <w:r>
        <w:rPr>
          <w:sz w:val="19"/>
        </w:rPr>
        <w:t>Público de interesse: pessoas interessadas em atividade física, qualidade de vida e longevidade, incluindo a comunidade da Pace Lab. Perfil demográfico, número de participantes e alcance digital serão apresentados a partir dos dados disponíveis antes da comercialização.</w:t>
      </w:r>
    </w:p>
    <w:p>
      <w:r>
        <w:br w:type="page"/>
      </w:r>
    </w:p>
    <w:p>
      <w:pPr>
        <w:pStyle w:val="Heading1"/>
      </w:pPr>
      <w:r>
        <w:t>Hierarquia das entregas</w:t>
      </w:r>
    </w:p>
    <w:p>
      <w:r>
        <w:t>O peso comercial de uma entrega depende do destaque da marca, da exclusividade, do tempo de contato com o público e da possibilidade de medir uma ação. A ordem abaixo é uma recomendação para este evento, não uma previsão de engajamento.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color="D9D9D9"/>
          <w:left w:val="single" w:sz="5" w:color="D9D9D9"/>
          <w:bottom w:val="single" w:sz="5" w:color="D9D9D9"/>
          <w:right w:val="single" w:sz="5" w:color="D9D9D9"/>
          <w:insideH w:val="single" w:sz="5" w:color="D9D9D9"/>
          <w:insideV w:val="single" w:sz="5" w:color="D9D9D9"/>
        </w:tblBorders>
      </w:tblPr>
      <w:tblGrid>
        <w:gridCol w:w="936"/>
        <w:gridCol w:w="3528"/>
        <w:gridCol w:w="5702"/>
      </w:tblGrid>
      <w:tr>
        <w:trPr>
          <w:cantSplit/>
          <w:tblHeader/>
        </w:trPr>
        <w:tc>
          <w:tcPr>
            <w:tcW w:type="dxa" w:w="936"/>
            <w:vAlign w:val="center"/>
            <w:tcMar>
              <w:top w:w="100" w:type="dxa"/>
              <w:left w:w="110" w:type="dxa"/>
              <w:bottom w:w="100" w:type="dxa"/>
              <w:right w:w="110" w:type="dxa"/>
            </w:tcMar>
            <w:shd w:fill="16385E"/>
          </w:tcPr>
          <w:p>
            <w:pPr>
              <w:spacing w:after="0" w:before="0" w:line="252" w:lineRule="auto"/>
              <w:jc w:val="left"/>
            </w:pPr>
            <w:r>
              <w:rPr>
                <w:rFonts w:ascii="Calibri" w:hAnsi="Calibri"/>
                <w:b/>
                <w:color w:val="FFFFFF"/>
                <w:sz w:val="20"/>
              </w:rPr>
              <w:t>Ordem</w:t>
            </w:r>
          </w:p>
        </w:tc>
        <w:tc>
          <w:tcPr>
            <w:tcW w:type="dxa" w:w="3528"/>
            <w:vAlign w:val="center"/>
            <w:tcMar>
              <w:top w:w="100" w:type="dxa"/>
              <w:left w:w="110" w:type="dxa"/>
              <w:bottom w:w="100" w:type="dxa"/>
              <w:right w:w="110" w:type="dxa"/>
            </w:tcMar>
            <w:shd w:fill="16385E"/>
          </w:tcPr>
          <w:p>
            <w:pPr>
              <w:spacing w:after="0" w:before="0" w:line="252" w:lineRule="auto"/>
              <w:jc w:val="left"/>
            </w:pPr>
            <w:r>
              <w:rPr>
                <w:rFonts w:ascii="Calibri" w:hAnsi="Calibri"/>
                <w:b/>
                <w:color w:val="FFFFFF"/>
                <w:sz w:val="20"/>
              </w:rPr>
              <w:t>Entrega</w:t>
            </w:r>
          </w:p>
        </w:tc>
        <w:tc>
          <w:tcPr>
            <w:tcW w:type="dxa" w:w="5702"/>
            <w:vAlign w:val="center"/>
            <w:tcMar>
              <w:top w:w="100" w:type="dxa"/>
              <w:left w:w="110" w:type="dxa"/>
              <w:bottom w:w="100" w:type="dxa"/>
              <w:right w:w="110" w:type="dxa"/>
            </w:tcMar>
            <w:shd w:fill="16385E"/>
          </w:tcPr>
          <w:p>
            <w:pPr>
              <w:spacing w:after="0" w:before="0" w:line="252" w:lineRule="auto"/>
              <w:jc w:val="left"/>
            </w:pPr>
            <w:r>
              <w:rPr>
                <w:rFonts w:ascii="Calibri" w:hAnsi="Calibri"/>
                <w:b/>
                <w:color w:val="FFFFFF"/>
                <w:sz w:val="20"/>
              </w:rPr>
              <w:t>Valor para a marca</w:t>
            </w:r>
          </w:p>
        </w:tc>
      </w:tr>
      <w:tr>
        <w:trPr>
          <w:cantSplit/>
        </w:trPr>
        <w:tc>
          <w:tcPr>
            <w:tcW w:type="dxa" w:w="936"/>
            <w:vAlign w:val="center"/>
            <w:tcMar>
              <w:top w:w="100" w:type="dxa"/>
              <w:left w:w="110" w:type="dxa"/>
              <w:bottom w:w="100" w:type="dxa"/>
              <w:right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Calibri" w:hAnsi="Calibri"/>
                <w:b w:val="0"/>
                <w:color w:val="000000"/>
                <w:sz w:val="20"/>
              </w:rPr>
              <w:t>1</w:t>
            </w:r>
          </w:p>
        </w:tc>
        <w:tc>
          <w:tcPr>
            <w:tcW w:type="dxa" w:w="3528"/>
            <w:vAlign w:val="center"/>
            <w:tcMar>
              <w:top w:w="100" w:type="dxa"/>
              <w:left w:w="110" w:type="dxa"/>
              <w:bottom w:w="100" w:type="dxa"/>
              <w:right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Calibri" w:hAnsi="Calibri"/>
                <w:b w:val="0"/>
                <w:color w:val="000000"/>
                <w:sz w:val="20"/>
              </w:rPr>
              <w:t>Assinatura como apresentadora e exclusividade de segmento</w:t>
            </w:r>
          </w:p>
        </w:tc>
        <w:tc>
          <w:tcPr>
            <w:tcW w:type="dxa" w:w="5702"/>
            <w:vAlign w:val="center"/>
            <w:tcMar>
              <w:top w:w="100" w:type="dxa"/>
              <w:left w:w="110" w:type="dxa"/>
              <w:bottom w:w="100" w:type="dxa"/>
              <w:right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Calibri" w:hAnsi="Calibri"/>
                <w:b w:val="0"/>
                <w:color w:val="000000"/>
                <w:sz w:val="20"/>
              </w:rPr>
              <w:t>Associação principal ao evento e diferenciação em relação às demais marcas. Valor estratégico; não equivale, por si só, a interação.</w:t>
            </w:r>
          </w:p>
        </w:tc>
      </w:tr>
      <w:tr>
        <w:trPr>
          <w:cantSplit/>
        </w:trPr>
        <w:tc>
          <w:tcPr>
            <w:tcW w:type="dxa" w:w="936"/>
            <w:vAlign w:val="center"/>
            <w:tcMar>
              <w:top w:w="100" w:type="dxa"/>
              <w:left w:w="110" w:type="dxa"/>
              <w:bottom w:w="100" w:type="dxa"/>
              <w:right w:w="110" w:type="dxa"/>
            </w:tcMar>
            <w:shd w:fill="F1F5F9"/>
          </w:tcPr>
          <w:p>
            <w:pPr>
              <w:spacing w:after="0" w:before="0" w:line="252" w:lineRule="auto"/>
              <w:jc w:val="left"/>
            </w:pPr>
            <w:r>
              <w:rPr>
                <w:rFonts w:ascii="Calibri" w:hAnsi="Calibri"/>
                <w:b w:val="0"/>
                <w:color w:val="000000"/>
                <w:sz w:val="20"/>
              </w:rPr>
              <w:t>2</w:t>
            </w:r>
          </w:p>
        </w:tc>
        <w:tc>
          <w:tcPr>
            <w:tcW w:type="dxa" w:w="3528"/>
            <w:vAlign w:val="center"/>
            <w:tcMar>
              <w:top w:w="100" w:type="dxa"/>
              <w:left w:w="110" w:type="dxa"/>
              <w:bottom w:w="100" w:type="dxa"/>
              <w:right w:w="110" w:type="dxa"/>
            </w:tcMar>
            <w:shd w:fill="F1F5F9"/>
          </w:tcPr>
          <w:p>
            <w:pPr>
              <w:spacing w:after="0" w:before="0" w:line="252" w:lineRule="auto"/>
              <w:jc w:val="left"/>
            </w:pPr>
            <w:r>
              <w:rPr>
                <w:rFonts w:ascii="Calibri" w:hAnsi="Calibri"/>
                <w:b w:val="0"/>
                <w:color w:val="000000"/>
                <w:sz w:val="20"/>
              </w:rPr>
              <w:t>Estação patrocinada e stand com ativação</w:t>
            </w:r>
          </w:p>
        </w:tc>
        <w:tc>
          <w:tcPr>
            <w:tcW w:type="dxa" w:w="5702"/>
            <w:vAlign w:val="center"/>
            <w:tcMar>
              <w:top w:w="100" w:type="dxa"/>
              <w:left w:w="110" w:type="dxa"/>
              <w:bottom w:w="100" w:type="dxa"/>
              <w:right w:w="110" w:type="dxa"/>
            </w:tcMar>
            <w:shd w:fill="F1F5F9"/>
          </w:tcPr>
          <w:p>
            <w:pPr>
              <w:spacing w:after="0" w:before="0" w:line="252" w:lineRule="auto"/>
              <w:jc w:val="left"/>
            </w:pPr>
            <w:r>
              <w:rPr>
                <w:rFonts w:ascii="Calibri" w:hAnsi="Calibri"/>
                <w:b w:val="0"/>
                <w:color w:val="000000"/>
                <w:sz w:val="20"/>
              </w:rPr>
              <w:t>Contato direto, demonstração, experimentação e possibilidade de cadastro voluntário ou uso de cupom.</w:t>
            </w:r>
          </w:p>
        </w:tc>
      </w:tr>
      <w:tr>
        <w:trPr>
          <w:cantSplit/>
        </w:trPr>
        <w:tc>
          <w:tcPr>
            <w:tcW w:type="dxa" w:w="936"/>
            <w:vAlign w:val="center"/>
            <w:tcMar>
              <w:top w:w="100" w:type="dxa"/>
              <w:left w:w="110" w:type="dxa"/>
              <w:bottom w:w="100" w:type="dxa"/>
              <w:right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Calibri" w:hAnsi="Calibri"/>
                <w:b w:val="0"/>
                <w:color w:val="000000"/>
                <w:sz w:val="20"/>
              </w:rPr>
              <w:t>3</w:t>
            </w:r>
          </w:p>
        </w:tc>
        <w:tc>
          <w:tcPr>
            <w:tcW w:type="dxa" w:w="3528"/>
            <w:vAlign w:val="center"/>
            <w:tcMar>
              <w:top w:w="100" w:type="dxa"/>
              <w:left w:w="110" w:type="dxa"/>
              <w:bottom w:w="100" w:type="dxa"/>
              <w:right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Calibri" w:hAnsi="Calibri"/>
                <w:b w:val="0"/>
                <w:color w:val="000000"/>
                <w:sz w:val="20"/>
              </w:rPr>
              <w:t>Reels e publicações dedicadas à marca</w:t>
            </w:r>
          </w:p>
        </w:tc>
        <w:tc>
          <w:tcPr>
            <w:tcW w:type="dxa" w:w="5702"/>
            <w:vAlign w:val="center"/>
            <w:tcMar>
              <w:top w:w="100" w:type="dxa"/>
              <w:left w:w="110" w:type="dxa"/>
              <w:bottom w:w="100" w:type="dxa"/>
              <w:right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Calibri" w:hAnsi="Calibri"/>
                <w:b w:val="0"/>
                <w:color w:val="000000"/>
                <w:sz w:val="20"/>
              </w:rPr>
              <w:t>Espaço para explicar a parceria e apresentar uma chamada para ação, com desempenho mensurável no perfil.</w:t>
            </w:r>
          </w:p>
        </w:tc>
      </w:tr>
      <w:tr>
        <w:trPr>
          <w:cantSplit/>
        </w:trPr>
        <w:tc>
          <w:tcPr>
            <w:tcW w:type="dxa" w:w="936"/>
            <w:vAlign w:val="center"/>
            <w:tcMar>
              <w:top w:w="100" w:type="dxa"/>
              <w:left w:w="110" w:type="dxa"/>
              <w:bottom w:w="100" w:type="dxa"/>
              <w:right w:w="110" w:type="dxa"/>
            </w:tcMar>
            <w:shd w:fill="F1F5F9"/>
          </w:tcPr>
          <w:p>
            <w:pPr>
              <w:spacing w:after="0" w:before="0" w:line="252" w:lineRule="auto"/>
              <w:jc w:val="left"/>
            </w:pPr>
            <w:r>
              <w:rPr>
                <w:rFonts w:ascii="Calibri" w:hAnsi="Calibri"/>
                <w:b w:val="0"/>
                <w:color w:val="000000"/>
                <w:sz w:val="20"/>
              </w:rPr>
              <w:t>4</w:t>
            </w:r>
          </w:p>
        </w:tc>
        <w:tc>
          <w:tcPr>
            <w:tcW w:type="dxa" w:w="3528"/>
            <w:vAlign w:val="center"/>
            <w:tcMar>
              <w:top w:w="100" w:type="dxa"/>
              <w:left w:w="110" w:type="dxa"/>
              <w:bottom w:w="100" w:type="dxa"/>
              <w:right w:w="110" w:type="dxa"/>
            </w:tcMar>
            <w:shd w:fill="F1F5F9"/>
          </w:tcPr>
          <w:p>
            <w:pPr>
              <w:spacing w:after="0" w:before="0" w:line="252" w:lineRule="auto"/>
              <w:jc w:val="left"/>
            </w:pPr>
            <w:r>
              <w:rPr>
                <w:rFonts w:ascii="Calibri" w:hAnsi="Calibri"/>
                <w:b w:val="0"/>
                <w:color w:val="000000"/>
                <w:sz w:val="20"/>
              </w:rPr>
              <w:t>Stories dedicados com marcação e chamada para ação</w:t>
            </w:r>
          </w:p>
        </w:tc>
        <w:tc>
          <w:tcPr>
            <w:tcW w:type="dxa" w:w="5702"/>
            <w:vAlign w:val="center"/>
            <w:tcMar>
              <w:top w:w="100" w:type="dxa"/>
              <w:left w:w="110" w:type="dxa"/>
              <w:bottom w:w="100" w:type="dxa"/>
              <w:right w:w="110" w:type="dxa"/>
            </w:tcMar>
            <w:shd w:fill="F1F5F9"/>
          </w:tcPr>
          <w:p>
            <w:pPr>
              <w:spacing w:after="0" w:before="0" w:line="252" w:lineRule="auto"/>
              <w:jc w:val="left"/>
            </w:pPr>
            <w:r>
              <w:rPr>
                <w:rFonts w:ascii="Calibri" w:hAnsi="Calibri"/>
                <w:b w:val="0"/>
                <w:color w:val="000000"/>
                <w:sz w:val="20"/>
              </w:rPr>
              <w:t>Divulgação em momentos específicos, direcionamento para a ativação e possibilidade de medir cliques.</w:t>
            </w:r>
          </w:p>
        </w:tc>
      </w:tr>
      <w:tr>
        <w:trPr>
          <w:cantSplit/>
        </w:trPr>
        <w:tc>
          <w:tcPr>
            <w:tcW w:type="dxa" w:w="936"/>
            <w:vAlign w:val="center"/>
            <w:tcMar>
              <w:top w:w="100" w:type="dxa"/>
              <w:left w:w="110" w:type="dxa"/>
              <w:bottom w:w="100" w:type="dxa"/>
              <w:right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Calibri" w:hAnsi="Calibri"/>
                <w:b w:val="0"/>
                <w:color w:val="000000"/>
                <w:sz w:val="20"/>
              </w:rPr>
              <w:t>5</w:t>
            </w:r>
          </w:p>
        </w:tc>
        <w:tc>
          <w:tcPr>
            <w:tcW w:type="dxa" w:w="3528"/>
            <w:vAlign w:val="center"/>
            <w:tcMar>
              <w:top w:w="100" w:type="dxa"/>
              <w:left w:w="110" w:type="dxa"/>
              <w:bottom w:w="100" w:type="dxa"/>
              <w:right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Calibri" w:hAnsi="Calibri"/>
                <w:b w:val="0"/>
                <w:color w:val="000000"/>
                <w:sz w:val="20"/>
              </w:rPr>
              <w:t>Background de fotos e sinalização em pontos de alto fluxo</w:t>
            </w:r>
          </w:p>
        </w:tc>
        <w:tc>
          <w:tcPr>
            <w:tcW w:type="dxa" w:w="5702"/>
            <w:vAlign w:val="center"/>
            <w:tcMar>
              <w:top w:w="100" w:type="dxa"/>
              <w:left w:w="110" w:type="dxa"/>
              <w:bottom w:w="100" w:type="dxa"/>
              <w:right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Calibri" w:hAnsi="Calibri"/>
                <w:b w:val="0"/>
                <w:color w:val="000000"/>
                <w:sz w:val="20"/>
              </w:rPr>
              <w:t>Exposição durante a jornada e presença visual nos registros em que as peças aparecerem.</w:t>
            </w:r>
          </w:p>
        </w:tc>
      </w:tr>
      <w:tr>
        <w:trPr>
          <w:cantSplit/>
        </w:trPr>
        <w:tc>
          <w:tcPr>
            <w:tcW w:type="dxa" w:w="936"/>
            <w:vAlign w:val="center"/>
            <w:tcMar>
              <w:top w:w="100" w:type="dxa"/>
              <w:left w:w="110" w:type="dxa"/>
              <w:bottom w:w="100" w:type="dxa"/>
              <w:right w:w="110" w:type="dxa"/>
            </w:tcMar>
            <w:shd w:fill="F1F5F9"/>
          </w:tcPr>
          <w:p>
            <w:pPr>
              <w:spacing w:after="0" w:before="0" w:line="252" w:lineRule="auto"/>
              <w:jc w:val="left"/>
            </w:pPr>
            <w:r>
              <w:rPr>
                <w:rFonts w:ascii="Calibri" w:hAnsi="Calibri"/>
                <w:b w:val="0"/>
                <w:color w:val="000000"/>
                <w:sz w:val="20"/>
              </w:rPr>
              <w:t>6</w:t>
            </w:r>
          </w:p>
        </w:tc>
        <w:tc>
          <w:tcPr>
            <w:tcW w:type="dxa" w:w="3528"/>
            <w:vAlign w:val="center"/>
            <w:tcMar>
              <w:top w:w="100" w:type="dxa"/>
              <w:left w:w="110" w:type="dxa"/>
              <w:bottom w:w="100" w:type="dxa"/>
              <w:right w:w="110" w:type="dxa"/>
            </w:tcMar>
            <w:shd w:fill="F1F5F9"/>
          </w:tcPr>
          <w:p>
            <w:pPr>
              <w:spacing w:after="0" w:before="0" w:line="252" w:lineRule="auto"/>
              <w:jc w:val="left"/>
            </w:pPr>
            <w:r>
              <w:rPr>
                <w:rFonts w:ascii="Calibri" w:hAnsi="Calibri"/>
                <w:b w:val="0"/>
                <w:color w:val="000000"/>
                <w:sz w:val="20"/>
              </w:rPr>
              <w:t>Wind banners e bandeiras</w:t>
            </w:r>
          </w:p>
        </w:tc>
        <w:tc>
          <w:tcPr>
            <w:tcW w:type="dxa" w:w="5702"/>
            <w:vAlign w:val="center"/>
            <w:tcMar>
              <w:top w:w="100" w:type="dxa"/>
              <w:left w:w="110" w:type="dxa"/>
              <w:bottom w:w="100" w:type="dxa"/>
              <w:right w:w="110" w:type="dxa"/>
            </w:tcMar>
            <w:shd w:fill="F1F5F9"/>
          </w:tcPr>
          <w:p>
            <w:pPr>
              <w:spacing w:after="0" w:before="0" w:line="252" w:lineRule="auto"/>
              <w:jc w:val="left"/>
            </w:pPr>
            <w:r>
              <w:rPr>
                <w:rFonts w:ascii="Calibri" w:hAnsi="Calibri"/>
                <w:b w:val="0"/>
                <w:color w:val="000000"/>
                <w:sz w:val="20"/>
              </w:rPr>
              <w:t>Repetição visual e identificação da marca no espaço. O efeito depende da posição e do fluxo de pessoas.</w:t>
            </w:r>
          </w:p>
        </w:tc>
      </w:tr>
      <w:tr>
        <w:trPr>
          <w:cantSplit/>
        </w:trPr>
        <w:tc>
          <w:tcPr>
            <w:tcW w:type="dxa" w:w="936"/>
            <w:vAlign w:val="center"/>
            <w:tcMar>
              <w:top w:w="100" w:type="dxa"/>
              <w:left w:w="110" w:type="dxa"/>
              <w:bottom w:w="100" w:type="dxa"/>
              <w:right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Calibri" w:hAnsi="Calibri"/>
                <w:b w:val="0"/>
                <w:color w:val="000000"/>
                <w:sz w:val="20"/>
              </w:rPr>
              <w:t>7</w:t>
            </w:r>
          </w:p>
        </w:tc>
        <w:tc>
          <w:tcPr>
            <w:tcW w:type="dxa" w:w="3528"/>
            <w:vAlign w:val="center"/>
            <w:tcMar>
              <w:top w:w="100" w:type="dxa"/>
              <w:left w:w="110" w:type="dxa"/>
              <w:bottom w:w="100" w:type="dxa"/>
              <w:right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Calibri" w:hAnsi="Calibri"/>
                <w:b w:val="0"/>
                <w:color w:val="000000"/>
                <w:sz w:val="20"/>
              </w:rPr>
              <w:t>Logos em peças coletivas e panfletos</w:t>
            </w:r>
          </w:p>
        </w:tc>
        <w:tc>
          <w:tcPr>
            <w:tcW w:type="dxa" w:w="5702"/>
            <w:vAlign w:val="center"/>
            <w:tcMar>
              <w:top w:w="100" w:type="dxa"/>
              <w:left w:w="110" w:type="dxa"/>
              <w:bottom w:w="100" w:type="dxa"/>
              <w:right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Calibri" w:hAnsi="Calibri"/>
                <w:b w:val="0"/>
                <w:color w:val="000000"/>
                <w:sz w:val="20"/>
              </w:rPr>
              <w:t>Presença de apoio. O panfleto pode direcionar para um QR Code ou oferta, com mensuração própria.</w:t>
            </w:r>
          </w:p>
        </w:tc>
      </w:tr>
    </w:tbl>
    <w:p>
      <w:pPr>
        <w:spacing w:after="0" w:before="0" w:line="240" w:lineRule="auto"/>
      </w:pPr>
      <w:r>
        <w:rPr>
          <w:sz w:val="6"/>
        </w:rPr>
      </w:r>
    </w:p>
    <w:p>
      <w:pPr>
        <w:pStyle w:val="Heading2"/>
      </w:pPr>
      <w:r>
        <w:t>Exposição e interação têm funções diferentes</w:t>
      </w:r>
    </w:p>
    <w:p>
      <w:r>
        <w:t>Uma postagem dedicada recebe mais peso que um panfleto nesta arquitetura porque oferece espaço editorial e dados de desempenho. Isso não significa que qualquer postagem terá resultado superior: a relevância do conteúdo, a distribuição e a qualidade da oferta influenciam a resposta do público.</w:t>
      </w:r>
    </w:p>
    <w:p>
      <w:r>
        <w:t>Um stand apenas com logotipo funciona como exposição. Para ocupar uma cota superior, a proposta é ter uma atividade: teste de produto, demonstração, orientação relacionada à experiência ou convite claro para conhecer a marca.</w:t>
      </w:r>
    </w:p>
    <w:p>
      <w:pPr>
        <w:pStyle w:val="Heading2"/>
      </w:pPr>
      <w:r>
        <w:t>Aplicação às três cotas</w:t>
      </w:r>
    </w:p>
    <w:p>
      <w:r>
        <w:t>A concentra a assinatura principal e o maior conjunto de entregas. B combina presença ativa em uma estação com conteúdo próprio. C oferece entrada por exposição compartilhada e materiais de apoio. A hierarquia preserva uma diferença perceptível entre os pacotes.</w:t>
      </w:r>
    </w:p>
    <w:p>
      <w:r>
        <w:br w:type="page"/>
      </w:r>
    </w:p>
    <w:p>
      <w:pPr>
        <w:pStyle w:val="Heading1"/>
      </w:pPr>
      <w:r>
        <w:t>Cotas de patrocínio</w:t>
      </w:r>
    </w:p>
    <w:p>
      <w:r>
        <w:t>Configuração inicial sugerida: uma cota A, até três cotas B e até quatro cotas C. O limite total de oito marcas deverá ser conferido com a planta do local e a capacidade de produção antes da oferta comercial. Os valores permanecem em aberto.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color="D9D9D9"/>
          <w:left w:val="single" w:sz="5" w:color="D9D9D9"/>
          <w:bottom w:val="single" w:sz="5" w:color="D9D9D9"/>
          <w:right w:val="single" w:sz="5" w:color="D9D9D9"/>
          <w:insideH w:val="single" w:sz="5" w:color="D9D9D9"/>
          <w:insideV w:val="single" w:sz="5" w:color="D9D9D9"/>
        </w:tblBorders>
      </w:tblPr>
      <w:tblGrid>
        <w:gridCol w:w="864"/>
        <w:gridCol w:w="3888"/>
        <w:gridCol w:w="2376"/>
        <w:gridCol w:w="3038"/>
      </w:tblGrid>
      <w:tr>
        <w:trPr>
          <w:cantSplit/>
          <w:tblHeader/>
        </w:trPr>
        <w:tc>
          <w:tcPr>
            <w:tcW w:type="dxa" w:w="864"/>
            <w:vAlign w:val="center"/>
            <w:tcMar>
              <w:top w:w="100" w:type="dxa"/>
              <w:left w:w="110" w:type="dxa"/>
              <w:bottom w:w="100" w:type="dxa"/>
              <w:right w:w="110" w:type="dxa"/>
            </w:tcMar>
            <w:shd w:fill="16385E"/>
          </w:tcPr>
          <w:p>
            <w:pPr>
              <w:spacing w:after="0" w:before="0" w:line="252" w:lineRule="auto"/>
              <w:jc w:val="center"/>
            </w:pPr>
            <w:r>
              <w:rPr>
                <w:rFonts w:ascii="Calibri" w:hAnsi="Calibri"/>
                <w:b/>
                <w:color w:val="FFFFFF"/>
                <w:sz w:val="22"/>
              </w:rPr>
              <w:t>Cota</w:t>
            </w:r>
          </w:p>
        </w:tc>
        <w:tc>
          <w:tcPr>
            <w:tcW w:type="dxa" w:w="3888"/>
            <w:vAlign w:val="center"/>
            <w:tcMar>
              <w:top w:w="100" w:type="dxa"/>
              <w:left w:w="110" w:type="dxa"/>
              <w:bottom w:w="100" w:type="dxa"/>
              <w:right w:w="110" w:type="dxa"/>
            </w:tcMar>
            <w:shd w:fill="16385E"/>
          </w:tcPr>
          <w:p>
            <w:pPr>
              <w:spacing w:after="0" w:before="0" w:line="252" w:lineRule="auto"/>
              <w:jc w:val="left"/>
            </w:pPr>
            <w:r>
              <w:rPr>
                <w:rFonts w:ascii="Calibri" w:hAnsi="Calibri"/>
                <w:b/>
                <w:color w:val="FFFFFF"/>
                <w:sz w:val="22"/>
              </w:rPr>
              <w:t>Papel da marca</w:t>
            </w:r>
          </w:p>
        </w:tc>
        <w:tc>
          <w:tcPr>
            <w:tcW w:type="dxa" w:w="2376"/>
            <w:vAlign w:val="center"/>
            <w:tcMar>
              <w:top w:w="100" w:type="dxa"/>
              <w:left w:w="110" w:type="dxa"/>
              <w:bottom w:w="100" w:type="dxa"/>
              <w:right w:w="110" w:type="dxa"/>
            </w:tcMar>
            <w:shd w:fill="16385E"/>
          </w:tcPr>
          <w:p>
            <w:pPr>
              <w:spacing w:after="0" w:before="0" w:line="252" w:lineRule="auto"/>
              <w:jc w:val="center"/>
            </w:pPr>
            <w:r>
              <w:rPr>
                <w:rFonts w:ascii="Calibri" w:hAnsi="Calibri"/>
                <w:b/>
                <w:color w:val="FFFFFF"/>
                <w:sz w:val="22"/>
              </w:rPr>
              <w:t>Vagas sugeridas</w:t>
            </w:r>
          </w:p>
        </w:tc>
        <w:tc>
          <w:tcPr>
            <w:tcW w:type="dxa" w:w="3038"/>
            <w:vAlign w:val="center"/>
            <w:tcMar>
              <w:top w:w="100" w:type="dxa"/>
              <w:left w:w="110" w:type="dxa"/>
              <w:bottom w:w="100" w:type="dxa"/>
              <w:right w:w="110" w:type="dxa"/>
            </w:tcMar>
            <w:shd w:fill="16385E"/>
          </w:tcPr>
          <w:p>
            <w:pPr>
              <w:spacing w:after="0" w:before="0" w:line="252" w:lineRule="auto"/>
              <w:jc w:val="center"/>
            </w:pPr>
            <w:r>
              <w:rPr>
                <w:rFonts w:ascii="Calibri" w:hAnsi="Calibri"/>
                <w:b/>
                <w:color w:val="FFFFFF"/>
                <w:sz w:val="22"/>
              </w:rPr>
              <w:t>Investimento</w:t>
            </w:r>
          </w:p>
        </w:tc>
      </w:tr>
      <w:tr>
        <w:trPr>
          <w:cantSplit/>
        </w:trPr>
        <w:tc>
          <w:tcPr>
            <w:tcW w:type="dxa" w:w="864"/>
            <w:vAlign w:val="center"/>
            <w:tcMar>
              <w:top w:w="100" w:type="dxa"/>
              <w:left w:w="110" w:type="dxa"/>
              <w:bottom w:w="100" w:type="dxa"/>
              <w:right w:w="110" w:type="dxa"/>
            </w:tcMar>
            <w:shd w:fill="FFFFFF"/>
          </w:tcPr>
          <w:p>
            <w:pPr>
              <w:spacing w:after="0" w:before="0" w:line="252" w:lineRule="auto"/>
              <w:jc w:val="center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A</w:t>
            </w:r>
          </w:p>
        </w:tc>
        <w:tc>
          <w:tcPr>
            <w:tcW w:type="dxa" w:w="3888"/>
            <w:vAlign w:val="center"/>
            <w:tcMar>
              <w:top w:w="100" w:type="dxa"/>
              <w:left w:w="110" w:type="dxa"/>
              <w:bottom w:w="100" w:type="dxa"/>
              <w:right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Apresentadora</w:t>
            </w:r>
          </w:p>
        </w:tc>
        <w:tc>
          <w:tcPr>
            <w:tcW w:type="dxa" w:w="2376"/>
            <w:vAlign w:val="center"/>
            <w:tcMar>
              <w:top w:w="100" w:type="dxa"/>
              <w:left w:w="110" w:type="dxa"/>
              <w:bottom w:w="100" w:type="dxa"/>
              <w:right w:w="110" w:type="dxa"/>
            </w:tcMar>
            <w:shd w:fill="FFFFFF"/>
          </w:tcPr>
          <w:p>
            <w:pPr>
              <w:spacing w:after="0" w:before="0" w:line="252" w:lineRule="auto"/>
              <w:jc w:val="center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</w:t>
            </w:r>
          </w:p>
        </w:tc>
        <w:tc>
          <w:tcPr>
            <w:tcW w:type="dxa" w:w="3038"/>
            <w:vAlign w:val="center"/>
            <w:tcMar>
              <w:top w:w="100" w:type="dxa"/>
              <w:left w:w="110" w:type="dxa"/>
              <w:bottom w:w="100" w:type="dxa"/>
              <w:right w:w="110" w:type="dxa"/>
            </w:tcMar>
            <w:shd w:fill="FFFFFF"/>
          </w:tcPr>
          <w:p>
            <w:pPr>
              <w:spacing w:after="0" w:before="0" w:line="252" w:lineRule="auto"/>
              <w:jc w:val="center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A definir</w:t>
            </w:r>
          </w:p>
        </w:tc>
      </w:tr>
      <w:tr>
        <w:trPr>
          <w:cantSplit/>
        </w:trPr>
        <w:tc>
          <w:tcPr>
            <w:tcW w:type="dxa" w:w="864"/>
            <w:vAlign w:val="center"/>
            <w:tcMar>
              <w:top w:w="100" w:type="dxa"/>
              <w:left w:w="110" w:type="dxa"/>
              <w:bottom w:w="100" w:type="dxa"/>
              <w:right w:w="110" w:type="dxa"/>
            </w:tcMar>
            <w:shd w:fill="F1F5F9"/>
          </w:tcPr>
          <w:p>
            <w:pPr>
              <w:spacing w:after="0" w:before="0" w:line="252" w:lineRule="auto"/>
              <w:jc w:val="center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B</w:t>
            </w:r>
          </w:p>
        </w:tc>
        <w:tc>
          <w:tcPr>
            <w:tcW w:type="dxa" w:w="3888"/>
            <w:vAlign w:val="center"/>
            <w:tcMar>
              <w:top w:w="100" w:type="dxa"/>
              <w:left w:w="110" w:type="dxa"/>
              <w:bottom w:w="100" w:type="dxa"/>
              <w:right w:w="110" w:type="dxa"/>
            </w:tcMar>
            <w:shd w:fill="F1F5F9"/>
          </w:tcPr>
          <w:p>
            <w:pPr>
              <w:spacing w:after="0" w:before="0" w:line="252" w:lineRule="auto"/>
              <w:jc w:val="left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Parceira de experiência</w:t>
            </w:r>
          </w:p>
        </w:tc>
        <w:tc>
          <w:tcPr>
            <w:tcW w:type="dxa" w:w="2376"/>
            <w:vAlign w:val="center"/>
            <w:tcMar>
              <w:top w:w="100" w:type="dxa"/>
              <w:left w:w="110" w:type="dxa"/>
              <w:bottom w:w="100" w:type="dxa"/>
              <w:right w:w="110" w:type="dxa"/>
            </w:tcMar>
            <w:shd w:fill="F1F5F9"/>
          </w:tcPr>
          <w:p>
            <w:pPr>
              <w:spacing w:after="0" w:before="0" w:line="252" w:lineRule="auto"/>
              <w:jc w:val="center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Até 3</w:t>
            </w:r>
          </w:p>
        </w:tc>
        <w:tc>
          <w:tcPr>
            <w:tcW w:type="dxa" w:w="3038"/>
            <w:vAlign w:val="center"/>
            <w:tcMar>
              <w:top w:w="100" w:type="dxa"/>
              <w:left w:w="110" w:type="dxa"/>
              <w:bottom w:w="100" w:type="dxa"/>
              <w:right w:w="110" w:type="dxa"/>
            </w:tcMar>
            <w:shd w:fill="F1F5F9"/>
          </w:tcPr>
          <w:p>
            <w:pPr>
              <w:spacing w:after="0" w:before="0" w:line="252" w:lineRule="auto"/>
              <w:jc w:val="center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A definir</w:t>
            </w:r>
          </w:p>
        </w:tc>
      </w:tr>
      <w:tr>
        <w:trPr>
          <w:cantSplit/>
        </w:trPr>
        <w:tc>
          <w:tcPr>
            <w:tcW w:type="dxa" w:w="864"/>
            <w:vAlign w:val="center"/>
            <w:tcMar>
              <w:top w:w="100" w:type="dxa"/>
              <w:left w:w="110" w:type="dxa"/>
              <w:bottom w:w="100" w:type="dxa"/>
              <w:right w:w="110" w:type="dxa"/>
            </w:tcMar>
            <w:shd w:fill="FFFFFF"/>
          </w:tcPr>
          <w:p>
            <w:pPr>
              <w:spacing w:after="0" w:before="0" w:line="252" w:lineRule="auto"/>
              <w:jc w:val="center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</w:t>
            </w:r>
          </w:p>
        </w:tc>
        <w:tc>
          <w:tcPr>
            <w:tcW w:type="dxa" w:w="3888"/>
            <w:vAlign w:val="center"/>
            <w:tcMar>
              <w:top w:w="100" w:type="dxa"/>
              <w:left w:w="110" w:type="dxa"/>
              <w:bottom w:w="100" w:type="dxa"/>
              <w:right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Apoiadora</w:t>
            </w:r>
          </w:p>
        </w:tc>
        <w:tc>
          <w:tcPr>
            <w:tcW w:type="dxa" w:w="2376"/>
            <w:vAlign w:val="center"/>
            <w:tcMar>
              <w:top w:w="100" w:type="dxa"/>
              <w:left w:w="110" w:type="dxa"/>
              <w:bottom w:w="100" w:type="dxa"/>
              <w:right w:w="110" w:type="dxa"/>
            </w:tcMar>
            <w:shd w:fill="FFFFFF"/>
          </w:tcPr>
          <w:p>
            <w:pPr>
              <w:spacing w:after="0" w:before="0" w:line="252" w:lineRule="auto"/>
              <w:jc w:val="center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Até 4</w:t>
            </w:r>
          </w:p>
        </w:tc>
        <w:tc>
          <w:tcPr>
            <w:tcW w:type="dxa" w:w="3038"/>
            <w:vAlign w:val="center"/>
            <w:tcMar>
              <w:top w:w="100" w:type="dxa"/>
              <w:left w:w="110" w:type="dxa"/>
              <w:bottom w:w="100" w:type="dxa"/>
              <w:right w:w="110" w:type="dxa"/>
            </w:tcMar>
            <w:shd w:fill="FFFFFF"/>
          </w:tcPr>
          <w:p>
            <w:pPr>
              <w:spacing w:after="0" w:before="0" w:line="252" w:lineRule="auto"/>
              <w:jc w:val="center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A definir</w:t>
            </w:r>
          </w:p>
        </w:tc>
      </w:tr>
    </w:tbl>
    <w:p>
      <w:pPr>
        <w:spacing w:after="0" w:before="0" w:line="240" w:lineRule="auto"/>
      </w:pPr>
      <w:r>
        <w:rPr>
          <w:sz w:val="6"/>
        </w:rPr>
      </w:r>
    </w:p>
    <w:p>
      <w:pPr>
        <w:pStyle w:val="Heading2"/>
      </w:pPr>
      <w:r>
        <w:t>A Apresentadora</w:t>
      </w:r>
    </w:p>
    <w:p>
      <w:r>
        <w:t>Para a marca que deseja ocupar a posição de maior destaque no LONGEVUS. Inclui assinatura “Apresenta”, exclusividade no segmento comercial definido para a parceria, prioridade na escolha de uma estação e área para stand em posição principal.</w:t>
      </w:r>
    </w:p>
    <w:p>
      <w:r>
        <w:t>A entrega combina protagonismo na comunicação geral, dois Reels dedicados e maior volume de Stories e materiais físicos. A marca terá relatório individual com os registros das entregas e os indicadores disponíveis.</w:t>
      </w:r>
    </w:p>
    <w:p>
      <w:pPr>
        <w:pStyle w:val="Heading2"/>
      </w:pPr>
      <w:r>
        <w:t>B Parceira de experiência</w:t>
      </w:r>
    </w:p>
    <w:p>
      <w:r>
        <w:t>Para marcas que desejam demonstrar seu produto ou serviço e conversar diretamente com o público. Cada parceira será associada a uma estação disponível e terá área para stand, sinalização local e conteúdo dedicado.</w:t>
      </w:r>
    </w:p>
    <w:p>
      <w:r>
        <w:t>O foco é a qualidade da interação dentro daquela experiência. A associação é exclusiva naquela estação; não inclui exclusividade de segmento em todo o evento. A seleção de marcas respeitará o segmento reservado à cota A.</w:t>
      </w:r>
    </w:p>
    <w:p>
      <w:pPr>
        <w:pStyle w:val="Heading2"/>
      </w:pPr>
      <w:r>
        <w:t>C Apoiadora</w:t>
      </w:r>
    </w:p>
    <w:p>
      <w:r>
        <w:t>Para marcas que desejam integrar o evento com uma estrutura mais compacta. Inclui identificação como apoio, participação em comunicação coletiva, espaço de balcão compartilhado e presença no painel de parceiros.</w:t>
      </w:r>
    </w:p>
    <w:p>
      <w:r>
        <w:t>Permite apresentar materiais e amostras no ponto definido. Stand independente, estação patrocinada e conteúdo individual são diferenciais das cotas superiores.</w:t>
      </w:r>
    </w:p>
    <w:p>
      <w:pPr>
        <w:pStyle w:val="Heading2"/>
      </w:pPr>
      <w:r>
        <w:t>Ordem de destaque visual</w:t>
      </w:r>
    </w:p>
    <w:p>
      <w:r>
        <w:t>A realização pelo Dr. Marcos Ramalho e a parceria com a Pace Lab permanecem identificadas. As marcas entram em três blocos: Apresenta para A, Patrocínio para B e Apoio para C. Na comparação entre patrocinadores, A terá maior destaque, B terá presença intermediária e C terá assinatura de apoio legível.</w:t>
      </w:r>
    </w:p>
    <w:p>
      <w:pPr>
        <w:spacing w:line="252" w:lineRule="auto"/>
      </w:pPr>
      <w:r>
        <w:rPr>
          <w:sz w:val="19"/>
        </w:rPr>
        <w:t>Cada coluna das matrizes seguintes representa o pacote completo de uma marca. As cotas não se somam. Quantidades, dimensões e vagas são propostas para validação antes da comercialização.</w:t>
      </w:r>
    </w:p>
    <w:p>
      <w:r>
        <w:br w:type="page"/>
      </w:r>
    </w:p>
    <w:p>
      <w:pPr>
        <w:pStyle w:val="Heading1"/>
      </w:pPr>
      <w:r>
        <w:t>Matriz de presença no evento</w:t>
      </w:r>
    </w:p>
    <w:p>
      <w:r>
        <w:t>Entregas físicas sugeridas por marca. Os pontos de instalação e as áreas devem ser reservados na planta do evento. Background corresponde ao painel de fundo para fotos.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color="D9D9D9"/>
          <w:left w:val="single" w:sz="5" w:color="D9D9D9"/>
          <w:bottom w:val="single" w:sz="5" w:color="D9D9D9"/>
          <w:right w:val="single" w:sz="5" w:color="D9D9D9"/>
          <w:insideH w:val="single" w:sz="5" w:color="D9D9D9"/>
          <w:insideV w:val="single" w:sz="5" w:color="D9D9D9"/>
        </w:tblBorders>
      </w:tblPr>
      <w:tblGrid>
        <w:gridCol w:w="2592"/>
        <w:gridCol w:w="2549"/>
        <w:gridCol w:w="2549"/>
        <w:gridCol w:w="2477"/>
      </w:tblGrid>
      <w:tr>
        <w:trPr>
          <w:cantSplit/>
          <w:tblHeader/>
        </w:trPr>
        <w:tc>
          <w:tcPr>
            <w:tcW w:type="dxa" w:w="2592"/>
            <w:vAlign w:val="center"/>
            <w:tcMar>
              <w:top w:w="100" w:type="dxa"/>
              <w:left w:w="110" w:type="dxa"/>
              <w:bottom w:w="100" w:type="dxa"/>
              <w:right w:w="110" w:type="dxa"/>
            </w:tcMar>
            <w:shd w:fill="16385E"/>
          </w:tcPr>
          <w:p>
            <w:pPr>
              <w:spacing w:after="0" w:before="0" w:line="252" w:lineRule="auto"/>
              <w:jc w:val="left"/>
            </w:pPr>
            <w:r>
              <w:rPr>
                <w:rFonts w:ascii="Calibri" w:hAnsi="Calibri"/>
                <w:b/>
                <w:color w:val="FFFFFF"/>
                <w:sz w:val="20"/>
              </w:rPr>
              <w:t>Entrega</w:t>
            </w:r>
          </w:p>
        </w:tc>
        <w:tc>
          <w:tcPr>
            <w:tcW w:type="dxa" w:w="2549"/>
            <w:vAlign w:val="center"/>
            <w:tcMar>
              <w:top w:w="100" w:type="dxa"/>
              <w:left w:w="110" w:type="dxa"/>
              <w:bottom w:w="100" w:type="dxa"/>
              <w:right w:w="110" w:type="dxa"/>
            </w:tcMar>
            <w:shd w:fill="16385E"/>
          </w:tcPr>
          <w:p>
            <w:pPr>
              <w:spacing w:after="0" w:before="0" w:line="252" w:lineRule="auto"/>
              <w:jc w:val="left"/>
            </w:pPr>
            <w:r>
              <w:rPr>
                <w:rFonts w:ascii="Calibri" w:hAnsi="Calibri"/>
                <w:b/>
                <w:color w:val="FFFFFF"/>
                <w:sz w:val="20"/>
              </w:rPr>
              <w:t>A Apresentadora</w:t>
            </w:r>
          </w:p>
        </w:tc>
        <w:tc>
          <w:tcPr>
            <w:tcW w:type="dxa" w:w="2549"/>
            <w:vAlign w:val="center"/>
            <w:tcMar>
              <w:top w:w="100" w:type="dxa"/>
              <w:left w:w="110" w:type="dxa"/>
              <w:bottom w:w="100" w:type="dxa"/>
              <w:right w:w="110" w:type="dxa"/>
            </w:tcMar>
            <w:shd w:fill="16385E"/>
          </w:tcPr>
          <w:p>
            <w:pPr>
              <w:spacing w:after="0" w:before="0" w:line="252" w:lineRule="auto"/>
              <w:jc w:val="left"/>
            </w:pPr>
            <w:r>
              <w:rPr>
                <w:rFonts w:ascii="Calibri" w:hAnsi="Calibri"/>
                <w:b/>
                <w:color w:val="FFFFFF"/>
                <w:sz w:val="20"/>
              </w:rPr>
              <w:t>B Experiência</w:t>
            </w:r>
          </w:p>
        </w:tc>
        <w:tc>
          <w:tcPr>
            <w:tcW w:type="dxa" w:w="2477"/>
            <w:vAlign w:val="center"/>
            <w:tcMar>
              <w:top w:w="100" w:type="dxa"/>
              <w:left w:w="110" w:type="dxa"/>
              <w:bottom w:w="100" w:type="dxa"/>
              <w:right w:w="110" w:type="dxa"/>
            </w:tcMar>
            <w:shd w:fill="16385E"/>
          </w:tcPr>
          <w:p>
            <w:pPr>
              <w:spacing w:after="0" w:before="0" w:line="252" w:lineRule="auto"/>
              <w:jc w:val="left"/>
            </w:pPr>
            <w:r>
              <w:rPr>
                <w:rFonts w:ascii="Calibri" w:hAnsi="Calibri"/>
                <w:b/>
                <w:color w:val="FFFFFF"/>
                <w:sz w:val="20"/>
              </w:rPr>
              <w:t>C Apoiadora</w:t>
            </w:r>
          </w:p>
        </w:tc>
      </w:tr>
      <w:tr>
        <w:trPr>
          <w:cantSplit/>
        </w:trPr>
        <w:tc>
          <w:tcPr>
            <w:tcW w:type="dxa" w:w="2592"/>
            <w:vAlign w:val="center"/>
            <w:tcMar>
              <w:top w:w="100" w:type="dxa"/>
              <w:left w:w="110" w:type="dxa"/>
              <w:bottom w:w="100" w:type="dxa"/>
              <w:right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Calibri" w:hAnsi="Calibri"/>
                <w:b w:val="0"/>
                <w:color w:val="000000"/>
                <w:sz w:val="20"/>
              </w:rPr>
              <w:t>Assinatura “Apresenta”</w:t>
            </w:r>
          </w:p>
        </w:tc>
        <w:tc>
          <w:tcPr>
            <w:tcW w:type="dxa" w:w="2549"/>
            <w:vAlign w:val="center"/>
            <w:tcMar>
              <w:top w:w="100" w:type="dxa"/>
              <w:left w:w="110" w:type="dxa"/>
              <w:bottom w:w="100" w:type="dxa"/>
              <w:right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Calibri" w:hAnsi="Calibri"/>
                <w:b w:val="0"/>
                <w:color w:val="000000"/>
                <w:sz w:val="20"/>
              </w:rPr>
              <w:t>Exclusiva</w:t>
            </w:r>
          </w:p>
        </w:tc>
        <w:tc>
          <w:tcPr>
            <w:tcW w:type="dxa" w:w="2549"/>
            <w:vAlign w:val="center"/>
            <w:tcMar>
              <w:top w:w="100" w:type="dxa"/>
              <w:left w:w="110" w:type="dxa"/>
              <w:bottom w:w="100" w:type="dxa"/>
              <w:right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Calibri" w:hAnsi="Calibri"/>
                <w:b w:val="0"/>
                <w:color w:val="000000"/>
                <w:sz w:val="20"/>
              </w:rPr>
              <w:t>Não inclui</w:t>
            </w:r>
          </w:p>
        </w:tc>
        <w:tc>
          <w:tcPr>
            <w:tcW w:type="dxa" w:w="2477"/>
            <w:vAlign w:val="center"/>
            <w:tcMar>
              <w:top w:w="100" w:type="dxa"/>
              <w:left w:w="110" w:type="dxa"/>
              <w:bottom w:w="100" w:type="dxa"/>
              <w:right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Calibri" w:hAnsi="Calibri"/>
                <w:b w:val="0"/>
                <w:color w:val="000000"/>
                <w:sz w:val="20"/>
              </w:rPr>
              <w:t>Não inclui</w:t>
            </w:r>
          </w:p>
        </w:tc>
      </w:tr>
      <w:tr>
        <w:trPr>
          <w:cantSplit/>
        </w:trPr>
        <w:tc>
          <w:tcPr>
            <w:tcW w:type="dxa" w:w="2592"/>
            <w:vAlign w:val="center"/>
            <w:tcMar>
              <w:top w:w="100" w:type="dxa"/>
              <w:left w:w="110" w:type="dxa"/>
              <w:bottom w:w="100" w:type="dxa"/>
              <w:right w:w="110" w:type="dxa"/>
            </w:tcMar>
            <w:shd w:fill="F1F5F9"/>
          </w:tcPr>
          <w:p>
            <w:pPr>
              <w:spacing w:after="0" w:before="0" w:line="252" w:lineRule="auto"/>
              <w:jc w:val="left"/>
            </w:pPr>
            <w:r>
              <w:rPr>
                <w:rFonts w:ascii="Calibri" w:hAnsi="Calibri"/>
                <w:b w:val="0"/>
                <w:color w:val="000000"/>
                <w:sz w:val="20"/>
              </w:rPr>
              <w:t>Exclusividade de segmento</w:t>
            </w:r>
          </w:p>
        </w:tc>
        <w:tc>
          <w:tcPr>
            <w:tcW w:type="dxa" w:w="2549"/>
            <w:vAlign w:val="center"/>
            <w:tcMar>
              <w:top w:w="100" w:type="dxa"/>
              <w:left w:w="110" w:type="dxa"/>
              <w:bottom w:w="100" w:type="dxa"/>
              <w:right w:w="110" w:type="dxa"/>
            </w:tcMar>
            <w:shd w:fill="F1F5F9"/>
          </w:tcPr>
          <w:p>
            <w:pPr>
              <w:spacing w:after="0" w:before="0" w:line="252" w:lineRule="auto"/>
              <w:jc w:val="left"/>
            </w:pPr>
            <w:r>
              <w:rPr>
                <w:rFonts w:ascii="Calibri" w:hAnsi="Calibri"/>
                <w:b w:val="0"/>
                <w:color w:val="000000"/>
                <w:sz w:val="20"/>
              </w:rPr>
              <w:t>1 segmento definido para o evento</w:t>
            </w:r>
          </w:p>
        </w:tc>
        <w:tc>
          <w:tcPr>
            <w:tcW w:type="dxa" w:w="2549"/>
            <w:vAlign w:val="center"/>
            <w:tcMar>
              <w:top w:w="100" w:type="dxa"/>
              <w:left w:w="110" w:type="dxa"/>
              <w:bottom w:w="100" w:type="dxa"/>
              <w:right w:w="110" w:type="dxa"/>
            </w:tcMar>
            <w:shd w:fill="F1F5F9"/>
          </w:tcPr>
          <w:p>
            <w:pPr>
              <w:spacing w:after="0" w:before="0" w:line="252" w:lineRule="auto"/>
              <w:jc w:val="left"/>
            </w:pPr>
            <w:r>
              <w:rPr>
                <w:rFonts w:ascii="Calibri" w:hAnsi="Calibri"/>
                <w:b w:val="0"/>
                <w:color w:val="000000"/>
                <w:sz w:val="20"/>
              </w:rPr>
              <w:t>Não inclui</w:t>
            </w:r>
          </w:p>
        </w:tc>
        <w:tc>
          <w:tcPr>
            <w:tcW w:type="dxa" w:w="2477"/>
            <w:vAlign w:val="center"/>
            <w:tcMar>
              <w:top w:w="100" w:type="dxa"/>
              <w:left w:w="110" w:type="dxa"/>
              <w:bottom w:w="100" w:type="dxa"/>
              <w:right w:w="110" w:type="dxa"/>
            </w:tcMar>
            <w:shd w:fill="F1F5F9"/>
          </w:tcPr>
          <w:p>
            <w:pPr>
              <w:spacing w:after="0" w:before="0" w:line="252" w:lineRule="auto"/>
              <w:jc w:val="left"/>
            </w:pPr>
            <w:r>
              <w:rPr>
                <w:rFonts w:ascii="Calibri" w:hAnsi="Calibri"/>
                <w:b w:val="0"/>
                <w:color w:val="000000"/>
                <w:sz w:val="20"/>
              </w:rPr>
              <w:t>Não inclui</w:t>
            </w:r>
          </w:p>
        </w:tc>
      </w:tr>
      <w:tr>
        <w:trPr>
          <w:cantSplit/>
        </w:trPr>
        <w:tc>
          <w:tcPr>
            <w:tcW w:type="dxa" w:w="2592"/>
            <w:vAlign w:val="center"/>
            <w:tcMar>
              <w:top w:w="100" w:type="dxa"/>
              <w:left w:w="110" w:type="dxa"/>
              <w:bottom w:w="100" w:type="dxa"/>
              <w:right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Calibri" w:hAnsi="Calibri"/>
                <w:b w:val="0"/>
                <w:color w:val="000000"/>
                <w:sz w:val="20"/>
              </w:rPr>
              <w:t>Associação a uma estação</w:t>
            </w:r>
          </w:p>
        </w:tc>
        <w:tc>
          <w:tcPr>
            <w:tcW w:type="dxa" w:w="2549"/>
            <w:vAlign w:val="center"/>
            <w:tcMar>
              <w:top w:w="100" w:type="dxa"/>
              <w:left w:w="110" w:type="dxa"/>
              <w:bottom w:w="100" w:type="dxa"/>
              <w:right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Calibri" w:hAnsi="Calibri"/>
                <w:b w:val="0"/>
                <w:color w:val="000000"/>
                <w:sz w:val="20"/>
              </w:rPr>
              <w:t>1 estação, com prioridade de escolha</w:t>
            </w:r>
          </w:p>
        </w:tc>
        <w:tc>
          <w:tcPr>
            <w:tcW w:type="dxa" w:w="2549"/>
            <w:vAlign w:val="center"/>
            <w:tcMar>
              <w:top w:w="100" w:type="dxa"/>
              <w:left w:w="110" w:type="dxa"/>
              <w:bottom w:w="100" w:type="dxa"/>
              <w:right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Calibri" w:hAnsi="Calibri"/>
                <w:b w:val="0"/>
                <w:color w:val="000000"/>
                <w:sz w:val="20"/>
              </w:rPr>
              <w:t>1 estação disponível por marca</w:t>
            </w:r>
          </w:p>
        </w:tc>
        <w:tc>
          <w:tcPr>
            <w:tcW w:type="dxa" w:w="2477"/>
            <w:vAlign w:val="center"/>
            <w:tcMar>
              <w:top w:w="100" w:type="dxa"/>
              <w:left w:w="110" w:type="dxa"/>
              <w:bottom w:w="100" w:type="dxa"/>
              <w:right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Calibri" w:hAnsi="Calibri"/>
                <w:b w:val="0"/>
                <w:color w:val="000000"/>
                <w:sz w:val="20"/>
              </w:rPr>
              <w:t>Não inclui</w:t>
            </w:r>
          </w:p>
        </w:tc>
      </w:tr>
      <w:tr>
        <w:trPr>
          <w:cantSplit/>
        </w:trPr>
        <w:tc>
          <w:tcPr>
            <w:tcW w:type="dxa" w:w="2592"/>
            <w:vAlign w:val="center"/>
            <w:tcMar>
              <w:top w:w="100" w:type="dxa"/>
              <w:left w:w="110" w:type="dxa"/>
              <w:bottom w:w="100" w:type="dxa"/>
              <w:right w:w="110" w:type="dxa"/>
            </w:tcMar>
            <w:shd w:fill="F1F5F9"/>
          </w:tcPr>
          <w:p>
            <w:pPr>
              <w:spacing w:after="0" w:before="0" w:line="252" w:lineRule="auto"/>
              <w:jc w:val="left"/>
            </w:pPr>
            <w:r>
              <w:rPr>
                <w:rFonts w:ascii="Calibri" w:hAnsi="Calibri"/>
                <w:b w:val="0"/>
                <w:color w:val="000000"/>
                <w:sz w:val="20"/>
              </w:rPr>
              <w:t>Área para stand</w:t>
            </w:r>
          </w:p>
        </w:tc>
        <w:tc>
          <w:tcPr>
            <w:tcW w:type="dxa" w:w="2549"/>
            <w:vAlign w:val="center"/>
            <w:tcMar>
              <w:top w:w="100" w:type="dxa"/>
              <w:left w:w="110" w:type="dxa"/>
              <w:bottom w:w="100" w:type="dxa"/>
              <w:right w:w="110" w:type="dxa"/>
            </w:tcMar>
            <w:shd w:fill="F1F5F9"/>
          </w:tcPr>
          <w:p>
            <w:pPr>
              <w:spacing w:after="0" w:before="0" w:line="252" w:lineRule="auto"/>
              <w:jc w:val="left"/>
            </w:pPr>
            <w:r>
              <w:rPr>
                <w:rFonts w:ascii="Calibri" w:hAnsi="Calibri"/>
                <w:b w:val="0"/>
                <w:color w:val="000000"/>
                <w:sz w:val="20"/>
              </w:rPr>
              <w:t>1 área de 3 × 3 m em posição principal</w:t>
            </w:r>
          </w:p>
        </w:tc>
        <w:tc>
          <w:tcPr>
            <w:tcW w:type="dxa" w:w="2549"/>
            <w:vAlign w:val="center"/>
            <w:tcMar>
              <w:top w:w="100" w:type="dxa"/>
              <w:left w:w="110" w:type="dxa"/>
              <w:bottom w:w="100" w:type="dxa"/>
              <w:right w:w="110" w:type="dxa"/>
            </w:tcMar>
            <w:shd w:fill="F1F5F9"/>
          </w:tcPr>
          <w:p>
            <w:pPr>
              <w:spacing w:after="0" w:before="0" w:line="252" w:lineRule="auto"/>
              <w:jc w:val="left"/>
            </w:pPr>
            <w:r>
              <w:rPr>
                <w:rFonts w:ascii="Calibri" w:hAnsi="Calibri"/>
                <w:b w:val="0"/>
                <w:color w:val="000000"/>
                <w:sz w:val="20"/>
              </w:rPr>
              <w:t>1 área de 2 × 2 m no circuito de marcas</w:t>
            </w:r>
          </w:p>
        </w:tc>
        <w:tc>
          <w:tcPr>
            <w:tcW w:type="dxa" w:w="2477"/>
            <w:vAlign w:val="center"/>
            <w:tcMar>
              <w:top w:w="100" w:type="dxa"/>
              <w:left w:w="110" w:type="dxa"/>
              <w:bottom w:w="100" w:type="dxa"/>
              <w:right w:w="110" w:type="dxa"/>
            </w:tcMar>
            <w:shd w:fill="F1F5F9"/>
          </w:tcPr>
          <w:p>
            <w:pPr>
              <w:spacing w:after="0" w:before="0" w:line="252" w:lineRule="auto"/>
              <w:jc w:val="left"/>
            </w:pPr>
            <w:r>
              <w:rPr>
                <w:rFonts w:ascii="Calibri" w:hAnsi="Calibri"/>
                <w:b w:val="0"/>
                <w:color w:val="000000"/>
                <w:sz w:val="20"/>
              </w:rPr>
              <w:t>Não inclui</w:t>
            </w:r>
          </w:p>
        </w:tc>
      </w:tr>
      <w:tr>
        <w:trPr>
          <w:cantSplit/>
        </w:trPr>
        <w:tc>
          <w:tcPr>
            <w:tcW w:type="dxa" w:w="2592"/>
            <w:vAlign w:val="center"/>
            <w:tcMar>
              <w:top w:w="100" w:type="dxa"/>
              <w:left w:w="110" w:type="dxa"/>
              <w:bottom w:w="100" w:type="dxa"/>
              <w:right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Calibri" w:hAnsi="Calibri"/>
                <w:b w:val="0"/>
                <w:color w:val="000000"/>
                <w:sz w:val="20"/>
              </w:rPr>
              <w:t>Balcão compartilhado</w:t>
            </w:r>
          </w:p>
        </w:tc>
        <w:tc>
          <w:tcPr>
            <w:tcW w:type="dxa" w:w="2549"/>
            <w:vAlign w:val="center"/>
            <w:tcMar>
              <w:top w:w="100" w:type="dxa"/>
              <w:left w:w="110" w:type="dxa"/>
              <w:bottom w:w="100" w:type="dxa"/>
              <w:right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Calibri" w:hAnsi="Calibri"/>
                <w:b w:val="0"/>
                <w:color w:val="000000"/>
                <w:sz w:val="20"/>
              </w:rPr>
              <w:t>Atendimento no próprio stand</w:t>
            </w:r>
          </w:p>
        </w:tc>
        <w:tc>
          <w:tcPr>
            <w:tcW w:type="dxa" w:w="2549"/>
            <w:vAlign w:val="center"/>
            <w:tcMar>
              <w:top w:w="100" w:type="dxa"/>
              <w:left w:w="110" w:type="dxa"/>
              <w:bottom w:w="100" w:type="dxa"/>
              <w:right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Calibri" w:hAnsi="Calibri"/>
                <w:b w:val="0"/>
                <w:color w:val="000000"/>
                <w:sz w:val="20"/>
              </w:rPr>
              <w:t>Atendimento no próprio stand</w:t>
            </w:r>
          </w:p>
        </w:tc>
        <w:tc>
          <w:tcPr>
            <w:tcW w:type="dxa" w:w="2477"/>
            <w:vAlign w:val="center"/>
            <w:tcMar>
              <w:top w:w="100" w:type="dxa"/>
              <w:left w:w="110" w:type="dxa"/>
              <w:bottom w:w="100" w:type="dxa"/>
              <w:right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Calibri" w:hAnsi="Calibri"/>
                <w:b w:val="0"/>
                <w:color w:val="000000"/>
                <w:sz w:val="20"/>
              </w:rPr>
              <w:t>1 espaço de até 1 m linear</w:t>
            </w:r>
          </w:p>
        </w:tc>
      </w:tr>
      <w:tr>
        <w:trPr>
          <w:cantSplit/>
        </w:trPr>
        <w:tc>
          <w:tcPr>
            <w:tcW w:type="dxa" w:w="2592"/>
            <w:vAlign w:val="center"/>
            <w:tcMar>
              <w:top w:w="100" w:type="dxa"/>
              <w:left w:w="110" w:type="dxa"/>
              <w:bottom w:w="100" w:type="dxa"/>
              <w:right w:w="110" w:type="dxa"/>
            </w:tcMar>
            <w:shd w:fill="F1F5F9"/>
          </w:tcPr>
          <w:p>
            <w:pPr>
              <w:spacing w:after="0" w:before="0" w:line="252" w:lineRule="auto"/>
              <w:jc w:val="left"/>
            </w:pPr>
            <w:r>
              <w:rPr>
                <w:rFonts w:ascii="Calibri" w:hAnsi="Calibri"/>
                <w:b w:val="0"/>
                <w:color w:val="000000"/>
                <w:sz w:val="20"/>
              </w:rPr>
              <w:t>Wind banners exclusivos</w:t>
            </w:r>
          </w:p>
        </w:tc>
        <w:tc>
          <w:tcPr>
            <w:tcW w:type="dxa" w:w="2549"/>
            <w:vAlign w:val="center"/>
            <w:tcMar>
              <w:top w:w="100" w:type="dxa"/>
              <w:left w:w="110" w:type="dxa"/>
              <w:bottom w:w="100" w:type="dxa"/>
              <w:right w:w="110" w:type="dxa"/>
            </w:tcMar>
            <w:shd w:fill="F1F5F9"/>
          </w:tcPr>
          <w:p>
            <w:pPr>
              <w:spacing w:after="0" w:before="0" w:line="252" w:lineRule="auto"/>
              <w:jc w:val="left"/>
            </w:pPr>
            <w:r>
              <w:rPr>
                <w:rFonts w:ascii="Calibri" w:hAnsi="Calibri"/>
                <w:b w:val="0"/>
                <w:color w:val="000000"/>
                <w:sz w:val="20"/>
              </w:rPr>
              <w:t>2 unidades</w:t>
            </w:r>
          </w:p>
        </w:tc>
        <w:tc>
          <w:tcPr>
            <w:tcW w:type="dxa" w:w="2549"/>
            <w:vAlign w:val="center"/>
            <w:tcMar>
              <w:top w:w="100" w:type="dxa"/>
              <w:left w:w="110" w:type="dxa"/>
              <w:bottom w:w="100" w:type="dxa"/>
              <w:right w:w="110" w:type="dxa"/>
            </w:tcMar>
            <w:shd w:fill="F1F5F9"/>
          </w:tcPr>
          <w:p>
            <w:pPr>
              <w:spacing w:after="0" w:before="0" w:line="252" w:lineRule="auto"/>
              <w:jc w:val="left"/>
            </w:pPr>
            <w:r>
              <w:rPr>
                <w:rFonts w:ascii="Calibri" w:hAnsi="Calibri"/>
                <w:b w:val="0"/>
                <w:color w:val="000000"/>
                <w:sz w:val="20"/>
              </w:rPr>
              <w:t>1 unidade</w:t>
            </w:r>
          </w:p>
        </w:tc>
        <w:tc>
          <w:tcPr>
            <w:tcW w:type="dxa" w:w="2477"/>
            <w:vAlign w:val="center"/>
            <w:tcMar>
              <w:top w:w="100" w:type="dxa"/>
              <w:left w:w="110" w:type="dxa"/>
              <w:bottom w:w="100" w:type="dxa"/>
              <w:right w:w="110" w:type="dxa"/>
            </w:tcMar>
            <w:shd w:fill="F1F5F9"/>
          </w:tcPr>
          <w:p>
            <w:pPr>
              <w:spacing w:after="0" w:before="0" w:line="252" w:lineRule="auto"/>
              <w:jc w:val="left"/>
            </w:pPr>
            <w:r>
              <w:rPr>
                <w:rFonts w:ascii="Calibri" w:hAnsi="Calibri"/>
                <w:b w:val="0"/>
                <w:color w:val="000000"/>
                <w:sz w:val="20"/>
              </w:rPr>
              <w:t>Não inclui</w:t>
            </w:r>
          </w:p>
        </w:tc>
      </w:tr>
      <w:tr>
        <w:trPr>
          <w:cantSplit/>
        </w:trPr>
        <w:tc>
          <w:tcPr>
            <w:tcW w:type="dxa" w:w="2592"/>
            <w:vAlign w:val="center"/>
            <w:tcMar>
              <w:top w:w="100" w:type="dxa"/>
              <w:left w:w="110" w:type="dxa"/>
              <w:bottom w:w="100" w:type="dxa"/>
              <w:right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Calibri" w:hAnsi="Calibri"/>
                <w:b w:val="0"/>
                <w:color w:val="000000"/>
                <w:sz w:val="20"/>
              </w:rPr>
              <w:t>Bandeira exclusiva</w:t>
            </w:r>
          </w:p>
        </w:tc>
        <w:tc>
          <w:tcPr>
            <w:tcW w:type="dxa" w:w="2549"/>
            <w:vAlign w:val="center"/>
            <w:tcMar>
              <w:top w:w="100" w:type="dxa"/>
              <w:left w:w="110" w:type="dxa"/>
              <w:bottom w:w="100" w:type="dxa"/>
              <w:right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Calibri" w:hAnsi="Calibri"/>
                <w:b w:val="0"/>
                <w:color w:val="000000"/>
                <w:sz w:val="20"/>
              </w:rPr>
              <w:t>1 unidade</w:t>
            </w:r>
          </w:p>
        </w:tc>
        <w:tc>
          <w:tcPr>
            <w:tcW w:type="dxa" w:w="2549"/>
            <w:vAlign w:val="center"/>
            <w:tcMar>
              <w:top w:w="100" w:type="dxa"/>
              <w:left w:w="110" w:type="dxa"/>
              <w:bottom w:w="100" w:type="dxa"/>
              <w:right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Calibri" w:hAnsi="Calibri"/>
                <w:b w:val="0"/>
                <w:color w:val="000000"/>
                <w:sz w:val="20"/>
              </w:rPr>
              <w:t>Não inclui</w:t>
            </w:r>
          </w:p>
        </w:tc>
        <w:tc>
          <w:tcPr>
            <w:tcW w:type="dxa" w:w="2477"/>
            <w:vAlign w:val="center"/>
            <w:tcMar>
              <w:top w:w="100" w:type="dxa"/>
              <w:left w:w="110" w:type="dxa"/>
              <w:bottom w:w="100" w:type="dxa"/>
              <w:right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Calibri" w:hAnsi="Calibri"/>
                <w:b w:val="0"/>
                <w:color w:val="000000"/>
                <w:sz w:val="20"/>
              </w:rPr>
              <w:t>Não inclui</w:t>
            </w:r>
          </w:p>
        </w:tc>
      </w:tr>
      <w:tr>
        <w:trPr>
          <w:cantSplit/>
        </w:trPr>
        <w:tc>
          <w:tcPr>
            <w:tcW w:type="dxa" w:w="2592"/>
            <w:vAlign w:val="center"/>
            <w:tcMar>
              <w:top w:w="100" w:type="dxa"/>
              <w:left w:w="110" w:type="dxa"/>
              <w:bottom w:w="100" w:type="dxa"/>
              <w:right w:w="110" w:type="dxa"/>
            </w:tcMar>
            <w:shd w:fill="F1F5F9"/>
          </w:tcPr>
          <w:p>
            <w:pPr>
              <w:spacing w:after="0" w:before="0" w:line="252" w:lineRule="auto"/>
              <w:jc w:val="left"/>
            </w:pPr>
            <w:r>
              <w:rPr>
                <w:rFonts w:ascii="Calibri" w:hAnsi="Calibri"/>
                <w:b w:val="0"/>
                <w:color w:val="000000"/>
                <w:sz w:val="20"/>
              </w:rPr>
              <w:t>Background geral de fotos</w:t>
            </w:r>
          </w:p>
        </w:tc>
        <w:tc>
          <w:tcPr>
            <w:tcW w:type="dxa" w:w="2549"/>
            <w:vAlign w:val="center"/>
            <w:tcMar>
              <w:top w:w="100" w:type="dxa"/>
              <w:left w:w="110" w:type="dxa"/>
              <w:bottom w:w="100" w:type="dxa"/>
              <w:right w:w="110" w:type="dxa"/>
            </w:tcMar>
            <w:shd w:fill="F1F5F9"/>
          </w:tcPr>
          <w:p>
            <w:pPr>
              <w:spacing w:after="0" w:before="0" w:line="252" w:lineRule="auto"/>
              <w:jc w:val="left"/>
            </w:pPr>
            <w:r>
              <w:rPr>
                <w:rFonts w:ascii="Calibri" w:hAnsi="Calibri"/>
                <w:b w:val="0"/>
                <w:color w:val="000000"/>
                <w:sz w:val="20"/>
              </w:rPr>
              <w:t>Logo no bloco Apresenta</w:t>
            </w:r>
          </w:p>
        </w:tc>
        <w:tc>
          <w:tcPr>
            <w:tcW w:type="dxa" w:w="2549"/>
            <w:vAlign w:val="center"/>
            <w:tcMar>
              <w:top w:w="100" w:type="dxa"/>
              <w:left w:w="110" w:type="dxa"/>
              <w:bottom w:w="100" w:type="dxa"/>
              <w:right w:w="110" w:type="dxa"/>
            </w:tcMar>
            <w:shd w:fill="F1F5F9"/>
          </w:tcPr>
          <w:p>
            <w:pPr>
              <w:spacing w:after="0" w:before="0" w:line="252" w:lineRule="auto"/>
              <w:jc w:val="left"/>
            </w:pPr>
            <w:r>
              <w:rPr>
                <w:rFonts w:ascii="Calibri" w:hAnsi="Calibri"/>
                <w:b w:val="0"/>
                <w:color w:val="000000"/>
                <w:sz w:val="20"/>
              </w:rPr>
              <w:t>Logo no bloco Patrocínio</w:t>
            </w:r>
          </w:p>
        </w:tc>
        <w:tc>
          <w:tcPr>
            <w:tcW w:type="dxa" w:w="2477"/>
            <w:vAlign w:val="center"/>
            <w:tcMar>
              <w:top w:w="100" w:type="dxa"/>
              <w:left w:w="110" w:type="dxa"/>
              <w:bottom w:w="100" w:type="dxa"/>
              <w:right w:w="110" w:type="dxa"/>
            </w:tcMar>
            <w:shd w:fill="F1F5F9"/>
          </w:tcPr>
          <w:p>
            <w:pPr>
              <w:spacing w:after="0" w:before="0" w:line="252" w:lineRule="auto"/>
              <w:jc w:val="left"/>
            </w:pPr>
            <w:r>
              <w:rPr>
                <w:rFonts w:ascii="Calibri" w:hAnsi="Calibri"/>
                <w:b w:val="0"/>
                <w:color w:val="000000"/>
                <w:sz w:val="20"/>
              </w:rPr>
              <w:t>Logo no bloco Apoio</w:t>
            </w:r>
          </w:p>
        </w:tc>
      </w:tr>
      <w:tr>
        <w:trPr>
          <w:cantSplit/>
        </w:trPr>
        <w:tc>
          <w:tcPr>
            <w:tcW w:type="dxa" w:w="2592"/>
            <w:vAlign w:val="center"/>
            <w:tcMar>
              <w:top w:w="100" w:type="dxa"/>
              <w:left w:w="110" w:type="dxa"/>
              <w:bottom w:w="100" w:type="dxa"/>
              <w:right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Calibri" w:hAnsi="Calibri"/>
                <w:b w:val="0"/>
                <w:color w:val="000000"/>
                <w:sz w:val="20"/>
              </w:rPr>
              <w:t>Sinalização geral em 2 pontos</w:t>
            </w:r>
          </w:p>
        </w:tc>
        <w:tc>
          <w:tcPr>
            <w:tcW w:type="dxa" w:w="2549"/>
            <w:vAlign w:val="center"/>
            <w:tcMar>
              <w:top w:w="100" w:type="dxa"/>
              <w:left w:w="110" w:type="dxa"/>
              <w:bottom w:w="100" w:type="dxa"/>
              <w:right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Calibri" w:hAnsi="Calibri"/>
                <w:b w:val="0"/>
                <w:color w:val="000000"/>
                <w:sz w:val="20"/>
              </w:rPr>
              <w:t>Logo em maior destaque</w:t>
            </w:r>
          </w:p>
        </w:tc>
        <w:tc>
          <w:tcPr>
            <w:tcW w:type="dxa" w:w="2549"/>
            <w:vAlign w:val="center"/>
            <w:tcMar>
              <w:top w:w="100" w:type="dxa"/>
              <w:left w:w="110" w:type="dxa"/>
              <w:bottom w:w="100" w:type="dxa"/>
              <w:right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Calibri" w:hAnsi="Calibri"/>
                <w:b w:val="0"/>
                <w:color w:val="000000"/>
                <w:sz w:val="20"/>
              </w:rPr>
              <w:t>Logo em destaque intermediário</w:t>
            </w:r>
          </w:p>
        </w:tc>
        <w:tc>
          <w:tcPr>
            <w:tcW w:type="dxa" w:w="2477"/>
            <w:vAlign w:val="center"/>
            <w:tcMar>
              <w:top w:w="100" w:type="dxa"/>
              <w:left w:w="110" w:type="dxa"/>
              <w:bottom w:w="100" w:type="dxa"/>
              <w:right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Calibri" w:hAnsi="Calibri"/>
                <w:b w:val="0"/>
                <w:color w:val="000000"/>
                <w:sz w:val="20"/>
              </w:rPr>
              <w:t>Logo no bloco de apoio</w:t>
            </w:r>
          </w:p>
        </w:tc>
      </w:tr>
      <w:tr>
        <w:trPr>
          <w:cantSplit/>
        </w:trPr>
        <w:tc>
          <w:tcPr>
            <w:tcW w:type="dxa" w:w="2592"/>
            <w:vAlign w:val="center"/>
            <w:tcMar>
              <w:top w:w="100" w:type="dxa"/>
              <w:left w:w="110" w:type="dxa"/>
              <w:bottom w:w="100" w:type="dxa"/>
              <w:right w:w="110" w:type="dxa"/>
            </w:tcMar>
            <w:shd w:fill="F1F5F9"/>
          </w:tcPr>
          <w:p>
            <w:pPr>
              <w:spacing w:after="0" w:before="0" w:line="252" w:lineRule="auto"/>
              <w:jc w:val="left"/>
            </w:pPr>
            <w:r>
              <w:rPr>
                <w:rFonts w:ascii="Calibri" w:hAnsi="Calibri"/>
                <w:b w:val="0"/>
                <w:color w:val="000000"/>
                <w:sz w:val="20"/>
              </w:rPr>
              <w:t>Identificação da estação</w:t>
            </w:r>
          </w:p>
        </w:tc>
        <w:tc>
          <w:tcPr>
            <w:tcW w:type="dxa" w:w="2549"/>
            <w:vAlign w:val="center"/>
            <w:tcMar>
              <w:top w:w="100" w:type="dxa"/>
              <w:left w:w="110" w:type="dxa"/>
              <w:bottom w:w="100" w:type="dxa"/>
              <w:right w:w="110" w:type="dxa"/>
            </w:tcMar>
            <w:shd w:fill="F1F5F9"/>
          </w:tcPr>
          <w:p>
            <w:pPr>
              <w:spacing w:after="0" w:before="0" w:line="252" w:lineRule="auto"/>
              <w:jc w:val="left"/>
            </w:pPr>
            <w:r>
              <w:rPr>
                <w:rFonts w:ascii="Calibri" w:hAnsi="Calibri"/>
                <w:b w:val="0"/>
                <w:color w:val="000000"/>
                <w:sz w:val="20"/>
              </w:rPr>
              <w:t>Logo em 1 placa da estação</w:t>
            </w:r>
          </w:p>
        </w:tc>
        <w:tc>
          <w:tcPr>
            <w:tcW w:type="dxa" w:w="2549"/>
            <w:vAlign w:val="center"/>
            <w:tcMar>
              <w:top w:w="100" w:type="dxa"/>
              <w:left w:w="110" w:type="dxa"/>
              <w:bottom w:w="100" w:type="dxa"/>
              <w:right w:w="110" w:type="dxa"/>
            </w:tcMar>
            <w:shd w:fill="F1F5F9"/>
          </w:tcPr>
          <w:p>
            <w:pPr>
              <w:spacing w:after="0" w:before="0" w:line="252" w:lineRule="auto"/>
              <w:jc w:val="left"/>
            </w:pPr>
            <w:r>
              <w:rPr>
                <w:rFonts w:ascii="Calibri" w:hAnsi="Calibri"/>
                <w:b w:val="0"/>
                <w:color w:val="000000"/>
                <w:sz w:val="20"/>
              </w:rPr>
              <w:t>Logo em 1 placa da estação</w:t>
            </w:r>
          </w:p>
        </w:tc>
        <w:tc>
          <w:tcPr>
            <w:tcW w:type="dxa" w:w="2477"/>
            <w:vAlign w:val="center"/>
            <w:tcMar>
              <w:top w:w="100" w:type="dxa"/>
              <w:left w:w="110" w:type="dxa"/>
              <w:bottom w:w="100" w:type="dxa"/>
              <w:right w:w="110" w:type="dxa"/>
            </w:tcMar>
            <w:shd w:fill="F1F5F9"/>
          </w:tcPr>
          <w:p>
            <w:pPr>
              <w:spacing w:after="0" w:before="0" w:line="252" w:lineRule="auto"/>
              <w:jc w:val="left"/>
            </w:pPr>
            <w:r>
              <w:rPr>
                <w:rFonts w:ascii="Calibri" w:hAnsi="Calibri"/>
                <w:b w:val="0"/>
                <w:color w:val="000000"/>
                <w:sz w:val="20"/>
              </w:rPr>
              <w:t>Não inclui</w:t>
            </w:r>
          </w:p>
        </w:tc>
      </w:tr>
      <w:tr>
        <w:trPr>
          <w:cantSplit/>
        </w:trPr>
        <w:tc>
          <w:tcPr>
            <w:tcW w:type="dxa" w:w="2592"/>
            <w:vAlign w:val="center"/>
            <w:tcMar>
              <w:top w:w="100" w:type="dxa"/>
              <w:left w:w="110" w:type="dxa"/>
              <w:bottom w:w="100" w:type="dxa"/>
              <w:right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Calibri" w:hAnsi="Calibri"/>
                <w:b w:val="0"/>
                <w:color w:val="000000"/>
                <w:sz w:val="20"/>
              </w:rPr>
              <w:t>Menções na locução</w:t>
            </w:r>
          </w:p>
        </w:tc>
        <w:tc>
          <w:tcPr>
            <w:tcW w:type="dxa" w:w="2549"/>
            <w:vAlign w:val="center"/>
            <w:tcMar>
              <w:top w:w="100" w:type="dxa"/>
              <w:left w:w="110" w:type="dxa"/>
              <w:bottom w:w="100" w:type="dxa"/>
              <w:right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Calibri" w:hAnsi="Calibri"/>
                <w:b w:val="0"/>
                <w:color w:val="000000"/>
                <w:sz w:val="20"/>
              </w:rPr>
              <w:t>3 individuais ao longo do evento</w:t>
            </w:r>
          </w:p>
        </w:tc>
        <w:tc>
          <w:tcPr>
            <w:tcW w:type="dxa" w:w="2549"/>
            <w:vAlign w:val="center"/>
            <w:tcMar>
              <w:top w:w="100" w:type="dxa"/>
              <w:left w:w="110" w:type="dxa"/>
              <w:bottom w:w="100" w:type="dxa"/>
              <w:right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Calibri" w:hAnsi="Calibri"/>
                <w:b w:val="0"/>
                <w:color w:val="000000"/>
                <w:sz w:val="20"/>
              </w:rPr>
              <w:t>1 individual na chamada da estação</w:t>
            </w:r>
          </w:p>
        </w:tc>
        <w:tc>
          <w:tcPr>
            <w:tcW w:type="dxa" w:w="2477"/>
            <w:vAlign w:val="center"/>
            <w:tcMar>
              <w:top w:w="100" w:type="dxa"/>
              <w:left w:w="110" w:type="dxa"/>
              <w:bottom w:w="100" w:type="dxa"/>
              <w:right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Calibri" w:hAnsi="Calibri"/>
                <w:b w:val="0"/>
                <w:color w:val="000000"/>
                <w:sz w:val="20"/>
              </w:rPr>
              <w:t>1 agradecimento coletivo</w:t>
            </w:r>
          </w:p>
        </w:tc>
      </w:tr>
      <w:tr>
        <w:trPr>
          <w:cantSplit/>
        </w:trPr>
        <w:tc>
          <w:tcPr>
            <w:tcW w:type="dxa" w:w="2592"/>
            <w:vAlign w:val="center"/>
            <w:tcMar>
              <w:top w:w="100" w:type="dxa"/>
              <w:left w:w="110" w:type="dxa"/>
              <w:bottom w:w="100" w:type="dxa"/>
              <w:right w:w="110" w:type="dxa"/>
            </w:tcMar>
            <w:shd w:fill="F1F5F9"/>
          </w:tcPr>
          <w:p>
            <w:pPr>
              <w:spacing w:after="0" w:before="0" w:line="252" w:lineRule="auto"/>
              <w:jc w:val="left"/>
            </w:pPr>
            <w:r>
              <w:rPr>
                <w:rFonts w:ascii="Calibri" w:hAnsi="Calibri"/>
                <w:b w:val="0"/>
                <w:color w:val="000000"/>
                <w:sz w:val="20"/>
              </w:rPr>
              <w:t>Amostras e panfletos</w:t>
            </w:r>
          </w:p>
        </w:tc>
        <w:tc>
          <w:tcPr>
            <w:tcW w:type="dxa" w:w="2549"/>
            <w:vAlign w:val="center"/>
            <w:tcMar>
              <w:top w:w="100" w:type="dxa"/>
              <w:left w:w="110" w:type="dxa"/>
              <w:bottom w:w="100" w:type="dxa"/>
              <w:right w:w="110" w:type="dxa"/>
            </w:tcMar>
            <w:shd w:fill="F1F5F9"/>
          </w:tcPr>
          <w:p>
            <w:pPr>
              <w:spacing w:after="0" w:before="0" w:line="252" w:lineRule="auto"/>
              <w:jc w:val="left"/>
            </w:pPr>
            <w:r>
              <w:rPr>
                <w:rFonts w:ascii="Calibri" w:hAnsi="Calibri"/>
                <w:b w:val="0"/>
                <w:color w:val="000000"/>
                <w:sz w:val="20"/>
              </w:rPr>
              <w:t>No stand e na ativação</w:t>
            </w:r>
          </w:p>
        </w:tc>
        <w:tc>
          <w:tcPr>
            <w:tcW w:type="dxa" w:w="2549"/>
            <w:vAlign w:val="center"/>
            <w:tcMar>
              <w:top w:w="100" w:type="dxa"/>
              <w:left w:w="110" w:type="dxa"/>
              <w:bottom w:w="100" w:type="dxa"/>
              <w:right w:w="110" w:type="dxa"/>
            </w:tcMar>
            <w:shd w:fill="F1F5F9"/>
          </w:tcPr>
          <w:p>
            <w:pPr>
              <w:spacing w:after="0" w:before="0" w:line="252" w:lineRule="auto"/>
              <w:jc w:val="left"/>
            </w:pPr>
            <w:r>
              <w:rPr>
                <w:rFonts w:ascii="Calibri" w:hAnsi="Calibri"/>
                <w:b w:val="0"/>
                <w:color w:val="000000"/>
                <w:sz w:val="20"/>
              </w:rPr>
              <w:t>No stand e na estação</w:t>
            </w:r>
          </w:p>
        </w:tc>
        <w:tc>
          <w:tcPr>
            <w:tcW w:type="dxa" w:w="2477"/>
            <w:vAlign w:val="center"/>
            <w:tcMar>
              <w:top w:w="100" w:type="dxa"/>
              <w:left w:w="110" w:type="dxa"/>
              <w:bottom w:w="100" w:type="dxa"/>
              <w:right w:w="110" w:type="dxa"/>
            </w:tcMar>
            <w:shd w:fill="F1F5F9"/>
          </w:tcPr>
          <w:p>
            <w:pPr>
              <w:spacing w:after="0" w:before="0" w:line="252" w:lineRule="auto"/>
              <w:jc w:val="left"/>
            </w:pPr>
            <w:r>
              <w:rPr>
                <w:rFonts w:ascii="Calibri" w:hAnsi="Calibri"/>
                <w:b w:val="0"/>
                <w:color w:val="000000"/>
                <w:sz w:val="20"/>
              </w:rPr>
              <w:t>No balcão compartilhado</w:t>
            </w:r>
          </w:p>
        </w:tc>
      </w:tr>
    </w:tbl>
    <w:p>
      <w:pPr>
        <w:spacing w:after="0" w:before="0" w:line="240" w:lineRule="auto"/>
      </w:pPr>
      <w:r>
        <w:rPr>
          <w:sz w:val="6"/>
        </w:rPr>
      </w:r>
    </w:p>
    <w:p>
      <w:pPr>
        <w:pStyle w:val="Heading2"/>
      </w:pPr>
      <w:r>
        <w:t>Experiências disponíveis para associação</w:t>
      </w:r>
    </w:p>
    <w:p>
      <w:r>
        <w:t>Sugestão de quatro espaços: movimento com aula de HYROX; yoga; recuperação com fisioterapia; e convivência gastronômica. A escolhe primeiro e as três cotas B ocupam os espaços restantes. Cada estação deve ter explicação sobre seu propósito e funcionamento.</w:t>
      </w:r>
    </w:p>
    <w:p>
      <w:pPr>
        <w:spacing w:line="252" w:lineRule="auto"/>
      </w:pPr>
      <w:r>
        <w:rPr>
          <w:sz w:val="19"/>
        </w:rPr>
        <w:t>A associação comercial identifica quem viabiliza a experiência. O conteúdo educativo e as orientações dos profissionais são definidos pela organização e pelos responsáveis de cada atividade.</w:t>
      </w:r>
    </w:p>
    <w:p>
      <w:pPr>
        <w:spacing w:line="252" w:lineRule="auto"/>
      </w:pPr>
      <w:r>
        <w:rPr>
          <w:sz w:val="19"/>
        </w:rPr>
        <w:t>As áreas para stand e balcão não incluem montagem ou mobiliário. As responsabilidades de produção estão descritas ao final. Vagas e dimensões dependem da planta aprovada.</w:t>
      </w:r>
    </w:p>
    <w:p>
      <w:r>
        <w:br w:type="page"/>
      </w:r>
    </w:p>
    <w:p>
      <w:pPr>
        <w:pStyle w:val="Heading1"/>
      </w:pPr>
      <w:r>
        <w:t>Matriz de comunicação digital</w:t>
      </w:r>
    </w:p>
    <w:p>
      <w:r>
        <w:t>Publicações previstas no perfil oficial da Pace Lab. As quantidades abaixo são por marca, salvo as peças explicitamente coletivas. Cada tela de Story corresponde a uma unidade.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color="D9D9D9"/>
          <w:left w:val="single" w:sz="5" w:color="D9D9D9"/>
          <w:bottom w:val="single" w:sz="5" w:color="D9D9D9"/>
          <w:right w:val="single" w:sz="5" w:color="D9D9D9"/>
          <w:insideH w:val="single" w:sz="5" w:color="D9D9D9"/>
          <w:insideV w:val="single" w:sz="5" w:color="D9D9D9"/>
        </w:tblBorders>
      </w:tblPr>
      <w:tblGrid>
        <w:gridCol w:w="2592"/>
        <w:gridCol w:w="2549"/>
        <w:gridCol w:w="2549"/>
        <w:gridCol w:w="2477"/>
      </w:tblGrid>
      <w:tr>
        <w:trPr>
          <w:cantSplit/>
          <w:tblHeader/>
        </w:trPr>
        <w:tc>
          <w:tcPr>
            <w:tcW w:type="dxa" w:w="2592"/>
            <w:vAlign w:val="center"/>
            <w:tcMar>
              <w:top w:w="100" w:type="dxa"/>
              <w:left w:w="110" w:type="dxa"/>
              <w:bottom w:w="100" w:type="dxa"/>
              <w:right w:w="110" w:type="dxa"/>
            </w:tcMar>
            <w:shd w:fill="16385E"/>
          </w:tcPr>
          <w:p>
            <w:pPr>
              <w:spacing w:after="0" w:before="0" w:line="252" w:lineRule="auto"/>
              <w:jc w:val="left"/>
            </w:pPr>
            <w:r>
              <w:rPr>
                <w:rFonts w:ascii="Calibri" w:hAnsi="Calibri"/>
                <w:b/>
                <w:color w:val="FFFFFF"/>
                <w:sz w:val="20"/>
              </w:rPr>
              <w:t>Entrega</w:t>
            </w:r>
          </w:p>
        </w:tc>
        <w:tc>
          <w:tcPr>
            <w:tcW w:type="dxa" w:w="2549"/>
            <w:vAlign w:val="center"/>
            <w:tcMar>
              <w:top w:w="100" w:type="dxa"/>
              <w:left w:w="110" w:type="dxa"/>
              <w:bottom w:w="100" w:type="dxa"/>
              <w:right w:w="110" w:type="dxa"/>
            </w:tcMar>
            <w:shd w:fill="16385E"/>
          </w:tcPr>
          <w:p>
            <w:pPr>
              <w:spacing w:after="0" w:before="0" w:line="252" w:lineRule="auto"/>
              <w:jc w:val="left"/>
            </w:pPr>
            <w:r>
              <w:rPr>
                <w:rFonts w:ascii="Calibri" w:hAnsi="Calibri"/>
                <w:b/>
                <w:color w:val="FFFFFF"/>
                <w:sz w:val="20"/>
              </w:rPr>
              <w:t>A Apresentadora</w:t>
            </w:r>
          </w:p>
        </w:tc>
        <w:tc>
          <w:tcPr>
            <w:tcW w:type="dxa" w:w="2549"/>
            <w:vAlign w:val="center"/>
            <w:tcMar>
              <w:top w:w="100" w:type="dxa"/>
              <w:left w:w="110" w:type="dxa"/>
              <w:bottom w:w="100" w:type="dxa"/>
              <w:right w:w="110" w:type="dxa"/>
            </w:tcMar>
            <w:shd w:fill="16385E"/>
          </w:tcPr>
          <w:p>
            <w:pPr>
              <w:spacing w:after="0" w:before="0" w:line="252" w:lineRule="auto"/>
              <w:jc w:val="left"/>
            </w:pPr>
            <w:r>
              <w:rPr>
                <w:rFonts w:ascii="Calibri" w:hAnsi="Calibri"/>
                <w:b/>
                <w:color w:val="FFFFFF"/>
                <w:sz w:val="20"/>
              </w:rPr>
              <w:t>B Experiência</w:t>
            </w:r>
          </w:p>
        </w:tc>
        <w:tc>
          <w:tcPr>
            <w:tcW w:type="dxa" w:w="2477"/>
            <w:vAlign w:val="center"/>
            <w:tcMar>
              <w:top w:w="100" w:type="dxa"/>
              <w:left w:w="110" w:type="dxa"/>
              <w:bottom w:w="100" w:type="dxa"/>
              <w:right w:w="110" w:type="dxa"/>
            </w:tcMar>
            <w:shd w:fill="16385E"/>
          </w:tcPr>
          <w:p>
            <w:pPr>
              <w:spacing w:after="0" w:before="0" w:line="252" w:lineRule="auto"/>
              <w:jc w:val="left"/>
            </w:pPr>
            <w:r>
              <w:rPr>
                <w:rFonts w:ascii="Calibri" w:hAnsi="Calibri"/>
                <w:b/>
                <w:color w:val="FFFFFF"/>
                <w:sz w:val="20"/>
              </w:rPr>
              <w:t>C Apoiadora</w:t>
            </w:r>
          </w:p>
        </w:tc>
      </w:tr>
      <w:tr>
        <w:trPr>
          <w:cantSplit/>
        </w:trPr>
        <w:tc>
          <w:tcPr>
            <w:tcW w:type="dxa" w:w="2592"/>
            <w:vAlign w:val="center"/>
            <w:tcMar>
              <w:top w:w="100" w:type="dxa"/>
              <w:left w:w="110" w:type="dxa"/>
              <w:bottom w:w="100" w:type="dxa"/>
              <w:right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Calibri" w:hAnsi="Calibri"/>
                <w:b w:val="0"/>
                <w:color w:val="000000"/>
                <w:sz w:val="20"/>
              </w:rPr>
              <w:t>Reels dedicados</w:t>
            </w:r>
          </w:p>
        </w:tc>
        <w:tc>
          <w:tcPr>
            <w:tcW w:type="dxa" w:w="2549"/>
            <w:vAlign w:val="center"/>
            <w:tcMar>
              <w:top w:w="100" w:type="dxa"/>
              <w:left w:w="110" w:type="dxa"/>
              <w:bottom w:w="100" w:type="dxa"/>
              <w:right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Calibri" w:hAnsi="Calibri"/>
                <w:b w:val="0"/>
                <w:color w:val="000000"/>
                <w:sz w:val="20"/>
              </w:rPr>
              <w:t>2 vídeos: 1 antes e 1 depois</w:t>
            </w:r>
          </w:p>
        </w:tc>
        <w:tc>
          <w:tcPr>
            <w:tcW w:type="dxa" w:w="2549"/>
            <w:vAlign w:val="center"/>
            <w:tcMar>
              <w:top w:w="100" w:type="dxa"/>
              <w:left w:w="110" w:type="dxa"/>
              <w:bottom w:w="100" w:type="dxa"/>
              <w:right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Calibri" w:hAnsi="Calibri"/>
                <w:b w:val="0"/>
                <w:color w:val="000000"/>
                <w:sz w:val="20"/>
              </w:rPr>
              <w:t>1 vídeo da experiência, após o evento</w:t>
            </w:r>
          </w:p>
        </w:tc>
        <w:tc>
          <w:tcPr>
            <w:tcW w:type="dxa" w:w="2477"/>
            <w:vAlign w:val="center"/>
            <w:tcMar>
              <w:top w:w="100" w:type="dxa"/>
              <w:left w:w="110" w:type="dxa"/>
              <w:bottom w:w="100" w:type="dxa"/>
              <w:right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Calibri" w:hAnsi="Calibri"/>
                <w:b w:val="0"/>
                <w:color w:val="000000"/>
                <w:sz w:val="20"/>
              </w:rPr>
              <w:t>Não inclui</w:t>
            </w:r>
          </w:p>
        </w:tc>
      </w:tr>
      <w:tr>
        <w:trPr>
          <w:cantSplit/>
        </w:trPr>
        <w:tc>
          <w:tcPr>
            <w:tcW w:type="dxa" w:w="2592"/>
            <w:vAlign w:val="center"/>
            <w:tcMar>
              <w:top w:w="100" w:type="dxa"/>
              <w:left w:w="110" w:type="dxa"/>
              <w:bottom w:w="100" w:type="dxa"/>
              <w:right w:w="110" w:type="dxa"/>
            </w:tcMar>
            <w:shd w:fill="F1F5F9"/>
          </w:tcPr>
          <w:p>
            <w:pPr>
              <w:spacing w:after="0" w:before="0" w:line="252" w:lineRule="auto"/>
              <w:jc w:val="left"/>
            </w:pPr>
            <w:r>
              <w:rPr>
                <w:rFonts w:ascii="Calibri" w:hAnsi="Calibri"/>
                <w:b w:val="0"/>
                <w:color w:val="000000"/>
                <w:sz w:val="20"/>
              </w:rPr>
              <w:t>Post de anúncio da parceria</w:t>
            </w:r>
          </w:p>
        </w:tc>
        <w:tc>
          <w:tcPr>
            <w:tcW w:type="dxa" w:w="2549"/>
            <w:vAlign w:val="center"/>
            <w:tcMar>
              <w:top w:w="100" w:type="dxa"/>
              <w:left w:w="110" w:type="dxa"/>
              <w:bottom w:w="100" w:type="dxa"/>
              <w:right w:w="110" w:type="dxa"/>
            </w:tcMar>
            <w:shd w:fill="F1F5F9"/>
          </w:tcPr>
          <w:p>
            <w:pPr>
              <w:spacing w:after="0" w:before="0" w:line="252" w:lineRule="auto"/>
              <w:jc w:val="left"/>
            </w:pPr>
            <w:r>
              <w:rPr>
                <w:rFonts w:ascii="Calibri" w:hAnsi="Calibri"/>
                <w:b w:val="0"/>
                <w:color w:val="000000"/>
                <w:sz w:val="20"/>
              </w:rPr>
              <w:t>1 publicação individual antes do evento</w:t>
            </w:r>
          </w:p>
        </w:tc>
        <w:tc>
          <w:tcPr>
            <w:tcW w:type="dxa" w:w="2549"/>
            <w:vAlign w:val="center"/>
            <w:tcMar>
              <w:top w:w="100" w:type="dxa"/>
              <w:left w:w="110" w:type="dxa"/>
              <w:bottom w:w="100" w:type="dxa"/>
              <w:right w:w="110" w:type="dxa"/>
            </w:tcMar>
            <w:shd w:fill="F1F5F9"/>
          </w:tcPr>
          <w:p>
            <w:pPr>
              <w:spacing w:after="0" w:before="0" w:line="252" w:lineRule="auto"/>
              <w:jc w:val="left"/>
            </w:pPr>
            <w:r>
              <w:rPr>
                <w:rFonts w:ascii="Calibri" w:hAnsi="Calibri"/>
                <w:b w:val="0"/>
                <w:color w:val="000000"/>
                <w:sz w:val="20"/>
              </w:rPr>
              <w:t>1 publicação individual antes do evento</w:t>
            </w:r>
          </w:p>
        </w:tc>
        <w:tc>
          <w:tcPr>
            <w:tcW w:type="dxa" w:w="2477"/>
            <w:vAlign w:val="center"/>
            <w:tcMar>
              <w:top w:w="100" w:type="dxa"/>
              <w:left w:w="110" w:type="dxa"/>
              <w:bottom w:w="100" w:type="dxa"/>
              <w:right w:w="110" w:type="dxa"/>
            </w:tcMar>
            <w:shd w:fill="F1F5F9"/>
          </w:tcPr>
          <w:p>
            <w:pPr>
              <w:spacing w:after="0" w:before="0" w:line="252" w:lineRule="auto"/>
              <w:jc w:val="left"/>
            </w:pPr>
            <w:r>
              <w:rPr>
                <w:rFonts w:ascii="Calibri" w:hAnsi="Calibri"/>
                <w:b w:val="0"/>
                <w:color w:val="000000"/>
                <w:sz w:val="20"/>
              </w:rPr>
              <w:t>Presença em 1 publicação coletiva de apoios</w:t>
            </w:r>
          </w:p>
        </w:tc>
      </w:tr>
      <w:tr>
        <w:trPr>
          <w:cantSplit/>
        </w:trPr>
        <w:tc>
          <w:tcPr>
            <w:tcW w:type="dxa" w:w="2592"/>
            <w:vAlign w:val="center"/>
            <w:tcMar>
              <w:top w:w="100" w:type="dxa"/>
              <w:left w:w="110" w:type="dxa"/>
              <w:bottom w:w="100" w:type="dxa"/>
              <w:right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Calibri" w:hAnsi="Calibri"/>
                <w:b w:val="0"/>
                <w:color w:val="000000"/>
                <w:sz w:val="20"/>
              </w:rPr>
              <w:t>Stories</w:t>
            </w:r>
          </w:p>
        </w:tc>
        <w:tc>
          <w:tcPr>
            <w:tcW w:type="dxa" w:w="2549"/>
            <w:vAlign w:val="center"/>
            <w:tcMar>
              <w:top w:w="100" w:type="dxa"/>
              <w:left w:w="110" w:type="dxa"/>
              <w:bottom w:w="100" w:type="dxa"/>
              <w:right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Calibri" w:hAnsi="Calibri"/>
                <w:b w:val="0"/>
                <w:color w:val="000000"/>
                <w:sz w:val="20"/>
              </w:rPr>
              <w:t>6 telas dedicadas: 2 antes, 3 no evento e 1 depois</w:t>
            </w:r>
          </w:p>
        </w:tc>
        <w:tc>
          <w:tcPr>
            <w:tcW w:type="dxa" w:w="2549"/>
            <w:vAlign w:val="center"/>
            <w:tcMar>
              <w:top w:w="100" w:type="dxa"/>
              <w:left w:w="110" w:type="dxa"/>
              <w:bottom w:w="100" w:type="dxa"/>
              <w:right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Calibri" w:hAnsi="Calibri"/>
                <w:b w:val="0"/>
                <w:color w:val="000000"/>
                <w:sz w:val="20"/>
              </w:rPr>
              <w:t>3 telas dedicadas: 1 antes, 1 no evento e 1 depois</w:t>
            </w:r>
          </w:p>
        </w:tc>
        <w:tc>
          <w:tcPr>
            <w:tcW w:type="dxa" w:w="2477"/>
            <w:vAlign w:val="center"/>
            <w:tcMar>
              <w:top w:w="100" w:type="dxa"/>
              <w:left w:w="110" w:type="dxa"/>
              <w:bottom w:w="100" w:type="dxa"/>
              <w:right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Calibri" w:hAnsi="Calibri"/>
                <w:b w:val="0"/>
                <w:color w:val="000000"/>
                <w:sz w:val="20"/>
              </w:rPr>
              <w:t>Presença em 1 tela coletiva antes do evento</w:t>
            </w:r>
          </w:p>
        </w:tc>
      </w:tr>
      <w:tr>
        <w:trPr>
          <w:cantSplit/>
        </w:trPr>
        <w:tc>
          <w:tcPr>
            <w:tcW w:type="dxa" w:w="2592"/>
            <w:vAlign w:val="center"/>
            <w:tcMar>
              <w:top w:w="100" w:type="dxa"/>
              <w:left w:w="110" w:type="dxa"/>
              <w:bottom w:w="100" w:type="dxa"/>
              <w:right w:w="110" w:type="dxa"/>
            </w:tcMar>
            <w:shd w:fill="F1F5F9"/>
          </w:tcPr>
          <w:p>
            <w:pPr>
              <w:spacing w:after="0" w:before="0" w:line="252" w:lineRule="auto"/>
              <w:jc w:val="left"/>
            </w:pPr>
            <w:r>
              <w:rPr>
                <w:rFonts w:ascii="Calibri" w:hAnsi="Calibri"/>
                <w:b w:val="0"/>
                <w:color w:val="000000"/>
                <w:sz w:val="20"/>
              </w:rPr>
              <w:t>3 peças gerais no feed</w:t>
            </w:r>
          </w:p>
        </w:tc>
        <w:tc>
          <w:tcPr>
            <w:tcW w:type="dxa" w:w="2549"/>
            <w:vAlign w:val="center"/>
            <w:tcMar>
              <w:top w:w="100" w:type="dxa"/>
              <w:left w:w="110" w:type="dxa"/>
              <w:bottom w:w="100" w:type="dxa"/>
              <w:right w:w="110" w:type="dxa"/>
            </w:tcMar>
            <w:shd w:fill="F1F5F9"/>
          </w:tcPr>
          <w:p>
            <w:pPr>
              <w:spacing w:after="0" w:before="0" w:line="252" w:lineRule="auto"/>
              <w:jc w:val="left"/>
            </w:pPr>
            <w:r>
              <w:rPr>
                <w:rFonts w:ascii="Calibri" w:hAnsi="Calibri"/>
                <w:b w:val="0"/>
                <w:color w:val="000000"/>
                <w:sz w:val="20"/>
              </w:rPr>
              <w:t>Logo no bloco Apresenta</w:t>
            </w:r>
          </w:p>
        </w:tc>
        <w:tc>
          <w:tcPr>
            <w:tcW w:type="dxa" w:w="2549"/>
            <w:vAlign w:val="center"/>
            <w:tcMar>
              <w:top w:w="100" w:type="dxa"/>
              <w:left w:w="110" w:type="dxa"/>
              <w:bottom w:w="100" w:type="dxa"/>
              <w:right w:w="110" w:type="dxa"/>
            </w:tcMar>
            <w:shd w:fill="F1F5F9"/>
          </w:tcPr>
          <w:p>
            <w:pPr>
              <w:spacing w:after="0" w:before="0" w:line="252" w:lineRule="auto"/>
              <w:jc w:val="left"/>
            </w:pPr>
            <w:r>
              <w:rPr>
                <w:rFonts w:ascii="Calibri" w:hAnsi="Calibri"/>
                <w:b w:val="0"/>
                <w:color w:val="000000"/>
                <w:sz w:val="20"/>
              </w:rPr>
              <w:t>Logo no bloco Patrocínio</w:t>
            </w:r>
          </w:p>
        </w:tc>
        <w:tc>
          <w:tcPr>
            <w:tcW w:type="dxa" w:w="2477"/>
            <w:vAlign w:val="center"/>
            <w:tcMar>
              <w:top w:w="100" w:type="dxa"/>
              <w:left w:w="110" w:type="dxa"/>
              <w:bottom w:w="100" w:type="dxa"/>
              <w:right w:w="110" w:type="dxa"/>
            </w:tcMar>
            <w:shd w:fill="F1F5F9"/>
          </w:tcPr>
          <w:p>
            <w:pPr>
              <w:spacing w:after="0" w:before="0" w:line="252" w:lineRule="auto"/>
              <w:jc w:val="left"/>
            </w:pPr>
            <w:r>
              <w:rPr>
                <w:rFonts w:ascii="Calibri" w:hAnsi="Calibri"/>
                <w:b w:val="0"/>
                <w:color w:val="000000"/>
                <w:sz w:val="20"/>
              </w:rPr>
              <w:t>Logo no bloco Apoio</w:t>
            </w:r>
          </w:p>
        </w:tc>
      </w:tr>
      <w:tr>
        <w:trPr>
          <w:cantSplit/>
        </w:trPr>
        <w:tc>
          <w:tcPr>
            <w:tcW w:type="dxa" w:w="2592"/>
            <w:vAlign w:val="center"/>
            <w:tcMar>
              <w:top w:w="100" w:type="dxa"/>
              <w:left w:w="110" w:type="dxa"/>
              <w:bottom w:w="100" w:type="dxa"/>
              <w:right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Calibri" w:hAnsi="Calibri"/>
                <w:b w:val="0"/>
                <w:color w:val="000000"/>
                <w:sz w:val="20"/>
              </w:rPr>
              <w:t>Vídeo geral de resumo</w:t>
            </w:r>
          </w:p>
        </w:tc>
        <w:tc>
          <w:tcPr>
            <w:tcW w:type="dxa" w:w="2549"/>
            <w:vAlign w:val="center"/>
            <w:tcMar>
              <w:top w:w="100" w:type="dxa"/>
              <w:left w:w="110" w:type="dxa"/>
              <w:bottom w:w="100" w:type="dxa"/>
              <w:right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Calibri" w:hAnsi="Calibri"/>
                <w:b w:val="0"/>
                <w:color w:val="000000"/>
                <w:sz w:val="20"/>
              </w:rPr>
              <w:t>Logo na abertura e no fechamento</w:t>
            </w:r>
          </w:p>
        </w:tc>
        <w:tc>
          <w:tcPr>
            <w:tcW w:type="dxa" w:w="2549"/>
            <w:vAlign w:val="center"/>
            <w:tcMar>
              <w:top w:w="100" w:type="dxa"/>
              <w:left w:w="110" w:type="dxa"/>
              <w:bottom w:w="100" w:type="dxa"/>
              <w:right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Calibri" w:hAnsi="Calibri"/>
                <w:b w:val="0"/>
                <w:color w:val="000000"/>
                <w:sz w:val="20"/>
              </w:rPr>
              <w:t>Logo no bloco final de patrocinadores</w:t>
            </w:r>
          </w:p>
        </w:tc>
        <w:tc>
          <w:tcPr>
            <w:tcW w:type="dxa" w:w="2477"/>
            <w:vAlign w:val="center"/>
            <w:tcMar>
              <w:top w:w="100" w:type="dxa"/>
              <w:left w:w="110" w:type="dxa"/>
              <w:bottom w:w="100" w:type="dxa"/>
              <w:right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Calibri" w:hAnsi="Calibri"/>
                <w:b w:val="0"/>
                <w:color w:val="000000"/>
                <w:sz w:val="20"/>
              </w:rPr>
              <w:t>Logo no bloco final de apoios</w:t>
            </w:r>
          </w:p>
        </w:tc>
      </w:tr>
      <w:tr>
        <w:trPr>
          <w:cantSplit/>
        </w:trPr>
        <w:tc>
          <w:tcPr>
            <w:tcW w:type="dxa" w:w="2592"/>
            <w:vAlign w:val="center"/>
            <w:tcMar>
              <w:top w:w="100" w:type="dxa"/>
              <w:left w:w="110" w:type="dxa"/>
              <w:bottom w:w="100" w:type="dxa"/>
              <w:right w:w="110" w:type="dxa"/>
            </w:tcMar>
            <w:shd w:fill="F1F5F9"/>
          </w:tcPr>
          <w:p>
            <w:pPr>
              <w:spacing w:after="0" w:before="0" w:line="252" w:lineRule="auto"/>
              <w:jc w:val="left"/>
            </w:pPr>
            <w:r>
              <w:rPr>
                <w:rFonts w:ascii="Calibri" w:hAnsi="Calibri"/>
                <w:b w:val="0"/>
                <w:color w:val="000000"/>
                <w:sz w:val="20"/>
              </w:rPr>
              <w:t>Fotos selecionadas da presença da marca</w:t>
            </w:r>
          </w:p>
        </w:tc>
        <w:tc>
          <w:tcPr>
            <w:tcW w:type="dxa" w:w="2549"/>
            <w:vAlign w:val="center"/>
            <w:tcMar>
              <w:top w:w="100" w:type="dxa"/>
              <w:left w:w="110" w:type="dxa"/>
              <w:bottom w:w="100" w:type="dxa"/>
              <w:right w:w="110" w:type="dxa"/>
            </w:tcMar>
            <w:shd w:fill="F1F5F9"/>
          </w:tcPr>
          <w:p>
            <w:pPr>
              <w:spacing w:after="0" w:before="0" w:line="252" w:lineRule="auto"/>
              <w:jc w:val="left"/>
            </w:pPr>
            <w:r>
              <w:rPr>
                <w:rFonts w:ascii="Calibri" w:hAnsi="Calibri"/>
                <w:b w:val="0"/>
                <w:color w:val="000000"/>
                <w:sz w:val="20"/>
              </w:rPr>
              <w:t>8 imagens</w:t>
            </w:r>
          </w:p>
        </w:tc>
        <w:tc>
          <w:tcPr>
            <w:tcW w:type="dxa" w:w="2549"/>
            <w:vAlign w:val="center"/>
            <w:tcMar>
              <w:top w:w="100" w:type="dxa"/>
              <w:left w:w="110" w:type="dxa"/>
              <w:bottom w:w="100" w:type="dxa"/>
              <w:right w:w="110" w:type="dxa"/>
            </w:tcMar>
            <w:shd w:fill="F1F5F9"/>
          </w:tcPr>
          <w:p>
            <w:pPr>
              <w:spacing w:after="0" w:before="0" w:line="252" w:lineRule="auto"/>
              <w:jc w:val="left"/>
            </w:pPr>
            <w:r>
              <w:rPr>
                <w:rFonts w:ascii="Calibri" w:hAnsi="Calibri"/>
                <w:b w:val="0"/>
                <w:color w:val="000000"/>
                <w:sz w:val="20"/>
              </w:rPr>
              <w:t>4 imagens</w:t>
            </w:r>
          </w:p>
        </w:tc>
        <w:tc>
          <w:tcPr>
            <w:tcW w:type="dxa" w:w="2477"/>
            <w:vAlign w:val="center"/>
            <w:tcMar>
              <w:top w:w="100" w:type="dxa"/>
              <w:left w:w="110" w:type="dxa"/>
              <w:bottom w:w="100" w:type="dxa"/>
              <w:right w:w="110" w:type="dxa"/>
            </w:tcMar>
            <w:shd w:fill="F1F5F9"/>
          </w:tcPr>
          <w:p>
            <w:pPr>
              <w:spacing w:after="0" w:before="0" w:line="252" w:lineRule="auto"/>
              <w:jc w:val="left"/>
            </w:pPr>
            <w:r>
              <w:rPr>
                <w:rFonts w:ascii="Calibri" w:hAnsi="Calibri"/>
                <w:b w:val="0"/>
                <w:color w:val="000000"/>
                <w:sz w:val="20"/>
              </w:rPr>
              <w:t>2 imagens, podendo ser de espaços compartilhados</w:t>
            </w:r>
          </w:p>
        </w:tc>
      </w:tr>
      <w:tr>
        <w:trPr>
          <w:cantSplit/>
        </w:trPr>
        <w:tc>
          <w:tcPr>
            <w:tcW w:type="dxa" w:w="2592"/>
            <w:vAlign w:val="center"/>
            <w:tcMar>
              <w:top w:w="100" w:type="dxa"/>
              <w:left w:w="110" w:type="dxa"/>
              <w:bottom w:w="100" w:type="dxa"/>
              <w:right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Calibri" w:hAnsi="Calibri"/>
                <w:b w:val="0"/>
                <w:color w:val="000000"/>
                <w:sz w:val="20"/>
              </w:rPr>
              <w:t>Relatório de entregas</w:t>
            </w:r>
          </w:p>
        </w:tc>
        <w:tc>
          <w:tcPr>
            <w:tcW w:type="dxa" w:w="2549"/>
            <w:vAlign w:val="center"/>
            <w:tcMar>
              <w:top w:w="100" w:type="dxa"/>
              <w:left w:w="110" w:type="dxa"/>
              <w:bottom w:w="100" w:type="dxa"/>
              <w:right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Calibri" w:hAnsi="Calibri"/>
                <w:b w:val="0"/>
                <w:color w:val="000000"/>
                <w:sz w:val="20"/>
              </w:rPr>
              <w:t>Individual, com dados das ações próprias</w:t>
            </w:r>
          </w:p>
        </w:tc>
        <w:tc>
          <w:tcPr>
            <w:tcW w:type="dxa" w:w="2549"/>
            <w:vAlign w:val="center"/>
            <w:tcMar>
              <w:top w:w="100" w:type="dxa"/>
              <w:left w:w="110" w:type="dxa"/>
              <w:bottom w:w="100" w:type="dxa"/>
              <w:right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Calibri" w:hAnsi="Calibri"/>
                <w:b w:val="0"/>
                <w:color w:val="000000"/>
                <w:sz w:val="20"/>
              </w:rPr>
              <w:t>Individual, com dados das ações próprias</w:t>
            </w:r>
          </w:p>
        </w:tc>
        <w:tc>
          <w:tcPr>
            <w:tcW w:type="dxa" w:w="2477"/>
            <w:vAlign w:val="center"/>
            <w:tcMar>
              <w:top w:w="100" w:type="dxa"/>
              <w:left w:w="110" w:type="dxa"/>
              <w:bottom w:w="100" w:type="dxa"/>
              <w:right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Calibri" w:hAnsi="Calibri"/>
                <w:b w:val="0"/>
                <w:color w:val="000000"/>
                <w:sz w:val="20"/>
              </w:rPr>
              <w:t>Geral, com comprovação da presença coletiva</w:t>
            </w:r>
          </w:p>
        </w:tc>
      </w:tr>
    </w:tbl>
    <w:p>
      <w:pPr>
        <w:spacing w:after="0" w:before="0" w:line="240" w:lineRule="auto"/>
      </w:pPr>
      <w:r>
        <w:rPr>
          <w:sz w:val="6"/>
        </w:rPr>
      </w:r>
    </w:p>
    <w:p>
      <w:pPr>
        <w:pStyle w:val="Heading2"/>
      </w:pPr>
      <w:r>
        <w:t>Definição das peças</w:t>
      </w:r>
    </w:p>
    <w:p>
      <w:r>
        <w:t>As três peças gerais são: lançamento do evento, abertura das inscrições e programação. O vídeo geral de resumo é uma entrega coletiva adicional e não substitui os Reels dedicados. A publicação de apoios reúne as marcas C em uma única peça; o mesmo vale para a tela coletiva de Story.</w:t>
      </w:r>
    </w:p>
    <w:p>
      <w:r>
        <w:t>Publicações dedicadas incluem marcação do perfil parceiro e chamada para ação combinada. O convite para publicação em colaboração pode ser utilizado nas peças individuais, mediante aceite do parceiro. Divulgação no perfil do Dr. Marcos Ramalho e mídia paga dependem de escopo específico e não compõem as quantidades acima.</w:t>
      </w:r>
    </w:p>
    <w:p>
      <w:pPr>
        <w:pStyle w:val="Heading2"/>
      </w:pPr>
      <w:r>
        <w:t>Capacidade de produção</w:t>
      </w:r>
    </w:p>
    <w:p>
      <w:r>
        <w:t>Com todas as vagas sugeridas preenchidas, o plano soma 5 Reels dedicados, 4 posts individuais, 1 post coletivo de apoios, 3 peças gerais e 1 vídeo de resumo: 14 publicações no feed. Acrescentam-se 16 telas de Stories e 28 fotos selecionadas. Esse volume deve entrar no orçamento e no calendário da equipe.</w:t>
      </w:r>
    </w:p>
    <w:p>
      <w:pPr>
        <w:spacing w:line="252" w:lineRule="auto"/>
      </w:pPr>
      <w:r>
        <w:rPr>
          <w:sz w:val="19"/>
        </w:rPr>
        <w:t>A cota remunera as entregas acordadas. Alcance, cliques, cadastros e vendas serão apurados quando mensuráveis; não há garantia de resultado numérico.</w:t>
      </w:r>
    </w:p>
    <w:p>
      <w:r>
        <w:br w:type="page"/>
      </w:r>
    </w:p>
    <w:p>
      <w:pPr>
        <w:pStyle w:val="Heading1"/>
      </w:pPr>
      <w:r>
        <w:t>Ativação e comprovação de resultados</w:t>
      </w:r>
    </w:p>
    <w:p>
      <w:r>
        <w:t>Cada parceria deve começar com um objetivo claro: aumentar reconhecimento, estimular experimentação, gerar contatos interessados ou direcionar para uma oferta. A ação presencial e a chamada nos conteúdos devem servir a esse objetivo.</w:t>
      </w:r>
    </w:p>
    <w:p>
      <w:pPr>
        <w:pStyle w:val="Heading2"/>
      </w:pPr>
      <w:r>
        <w:t>Jornada de entrega sugerida</w:t>
      </w:r>
    </w:p>
    <w:p>
      <w:pPr>
        <w:pStyle w:val="ListBullet"/>
        <w:spacing w:after="120" w:line="259" w:lineRule="auto"/>
      </w:pPr>
      <w:r>
        <w:rPr>
          <w:b/>
        </w:rPr>
        <w:t xml:space="preserve">Antes do evento. </w:t>
      </w:r>
      <w:r>
        <w:t>Do início da campanha até a véspera: anúncio das marcas, explicação das experiências, definição da ativação e preparação de links ou QR Codes específicos.</w:t>
      </w:r>
    </w:p>
    <w:p>
      <w:pPr>
        <w:pStyle w:val="ListBullet"/>
        <w:spacing w:after="120" w:line="259" w:lineRule="auto"/>
      </w:pPr>
      <w:r>
        <w:rPr>
          <w:b/>
        </w:rPr>
        <w:t xml:space="preserve">Durante o evento. </w:t>
      </w:r>
      <w:r>
        <w:t>Instalação da comunicação, funcionamento dos espaços, registros fotográficos, Stories, menções e contagem das interações quando houver equipe e método definidos.</w:t>
      </w:r>
    </w:p>
    <w:p>
      <w:pPr>
        <w:pStyle w:val="ListBullet"/>
        <w:spacing w:after="120" w:line="259" w:lineRule="auto"/>
      </w:pPr>
      <w:r>
        <w:rPr>
          <w:b/>
        </w:rPr>
        <w:t xml:space="preserve">Depois do evento. </w:t>
      </w:r>
      <w:r>
        <w:t>Conteúdos de encerramento até D+7, consolidação dos indicadores em D+14 e relatório até D+15. A coleta começa com cada publicação, incluindo os Stories. D é a data do evento; os prazos são sugeridos.</w:t>
      </w:r>
    </w:p>
    <w:p>
      <w:pPr>
        <w:pStyle w:val="Heading2"/>
      </w:pPr>
      <w:r>
        <w:t>Indicadores e evidências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color="D9D9D9"/>
          <w:left w:val="single" w:sz="5" w:color="D9D9D9"/>
          <w:bottom w:val="single" w:sz="5" w:color="D9D9D9"/>
          <w:right w:val="single" w:sz="5" w:color="D9D9D9"/>
          <w:insideH w:val="single" w:sz="5" w:color="D9D9D9"/>
          <w:insideV w:val="single" w:sz="5" w:color="D9D9D9"/>
        </w:tblBorders>
      </w:tblPr>
      <w:tblGrid>
        <w:gridCol w:w="1771"/>
        <w:gridCol w:w="3456"/>
        <w:gridCol w:w="4939"/>
      </w:tblGrid>
      <w:tr>
        <w:trPr>
          <w:cantSplit/>
          <w:tblHeader/>
        </w:trPr>
        <w:tc>
          <w:tcPr>
            <w:tcW w:type="dxa" w:w="1771"/>
            <w:vAlign w:val="center"/>
            <w:tcMar>
              <w:top w:w="100" w:type="dxa"/>
              <w:left w:w="110" w:type="dxa"/>
              <w:bottom w:w="100" w:type="dxa"/>
              <w:right w:w="110" w:type="dxa"/>
            </w:tcMar>
            <w:shd w:fill="16385E"/>
          </w:tcPr>
          <w:p>
            <w:pPr>
              <w:spacing w:after="0" w:before="0" w:line="252" w:lineRule="auto"/>
              <w:jc w:val="left"/>
            </w:pPr>
            <w:r>
              <w:rPr>
                <w:rFonts w:ascii="Calibri" w:hAnsi="Calibri"/>
                <w:b/>
                <w:color w:val="FFFFFF"/>
                <w:sz w:val="20"/>
              </w:rPr>
              <w:t>Objetivo</w:t>
            </w:r>
          </w:p>
        </w:tc>
        <w:tc>
          <w:tcPr>
            <w:tcW w:type="dxa" w:w="3456"/>
            <w:vAlign w:val="center"/>
            <w:tcMar>
              <w:top w:w="100" w:type="dxa"/>
              <w:left w:w="110" w:type="dxa"/>
              <w:bottom w:w="100" w:type="dxa"/>
              <w:right w:w="110" w:type="dxa"/>
            </w:tcMar>
            <w:shd w:fill="16385E"/>
          </w:tcPr>
          <w:p>
            <w:pPr>
              <w:spacing w:after="0" w:before="0" w:line="252" w:lineRule="auto"/>
              <w:jc w:val="left"/>
            </w:pPr>
            <w:r>
              <w:rPr>
                <w:rFonts w:ascii="Calibri" w:hAnsi="Calibri"/>
                <w:b/>
                <w:color w:val="FFFFFF"/>
                <w:sz w:val="20"/>
              </w:rPr>
              <w:t>Indicador</w:t>
            </w:r>
          </w:p>
        </w:tc>
        <w:tc>
          <w:tcPr>
            <w:tcW w:type="dxa" w:w="4939"/>
            <w:vAlign w:val="center"/>
            <w:tcMar>
              <w:top w:w="100" w:type="dxa"/>
              <w:left w:w="110" w:type="dxa"/>
              <w:bottom w:w="100" w:type="dxa"/>
              <w:right w:w="110" w:type="dxa"/>
            </w:tcMar>
            <w:shd w:fill="16385E"/>
          </w:tcPr>
          <w:p>
            <w:pPr>
              <w:spacing w:after="0" w:before="0" w:line="252" w:lineRule="auto"/>
              <w:jc w:val="left"/>
            </w:pPr>
            <w:r>
              <w:rPr>
                <w:rFonts w:ascii="Calibri" w:hAnsi="Calibri"/>
                <w:b/>
                <w:color w:val="FFFFFF"/>
                <w:sz w:val="20"/>
              </w:rPr>
              <w:t>Como comprovar</w:t>
            </w:r>
          </w:p>
        </w:tc>
      </w:tr>
      <w:tr>
        <w:trPr>
          <w:cantSplit/>
        </w:trPr>
        <w:tc>
          <w:tcPr>
            <w:tcW w:type="dxa" w:w="1771"/>
            <w:vAlign w:val="center"/>
            <w:tcMar>
              <w:top w:w="100" w:type="dxa"/>
              <w:left w:w="110" w:type="dxa"/>
              <w:bottom w:w="100" w:type="dxa"/>
              <w:right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Calibri" w:hAnsi="Calibri"/>
                <w:b w:val="0"/>
                <w:color w:val="000000"/>
                <w:sz w:val="20"/>
              </w:rPr>
              <w:t>Presença no evento</w:t>
            </w:r>
          </w:p>
        </w:tc>
        <w:tc>
          <w:tcPr>
            <w:tcW w:type="dxa" w:w="3456"/>
            <w:vAlign w:val="center"/>
            <w:tcMar>
              <w:top w:w="100" w:type="dxa"/>
              <w:left w:w="110" w:type="dxa"/>
              <w:bottom w:w="100" w:type="dxa"/>
              <w:right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Calibri" w:hAnsi="Calibri"/>
                <w:b w:val="0"/>
                <w:color w:val="000000"/>
                <w:sz w:val="20"/>
              </w:rPr>
              <w:t>Participantes que fizeram check-in</w:t>
            </w:r>
          </w:p>
        </w:tc>
        <w:tc>
          <w:tcPr>
            <w:tcW w:type="dxa" w:w="4939"/>
            <w:vAlign w:val="center"/>
            <w:tcMar>
              <w:top w:w="100" w:type="dxa"/>
              <w:left w:w="110" w:type="dxa"/>
              <w:bottom w:w="100" w:type="dxa"/>
              <w:right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Calibri" w:hAnsi="Calibri"/>
                <w:b w:val="0"/>
                <w:color w:val="000000"/>
                <w:sz w:val="20"/>
              </w:rPr>
              <w:t>Controle de entrada. Não representa automaticamente visitantes de cada marca.</w:t>
            </w:r>
          </w:p>
        </w:tc>
      </w:tr>
      <w:tr>
        <w:trPr>
          <w:cantSplit/>
        </w:trPr>
        <w:tc>
          <w:tcPr>
            <w:tcW w:type="dxa" w:w="1771"/>
            <w:vAlign w:val="center"/>
            <w:tcMar>
              <w:top w:w="100" w:type="dxa"/>
              <w:left w:w="110" w:type="dxa"/>
              <w:bottom w:w="100" w:type="dxa"/>
              <w:right w:w="110" w:type="dxa"/>
            </w:tcMar>
            <w:shd w:fill="F1F5F9"/>
          </w:tcPr>
          <w:p>
            <w:pPr>
              <w:spacing w:after="0" w:before="0" w:line="252" w:lineRule="auto"/>
              <w:jc w:val="left"/>
            </w:pPr>
            <w:r>
              <w:rPr>
                <w:rFonts w:ascii="Calibri" w:hAnsi="Calibri"/>
                <w:b w:val="0"/>
                <w:color w:val="000000"/>
                <w:sz w:val="20"/>
              </w:rPr>
              <w:t>Exposição digital</w:t>
            </w:r>
          </w:p>
        </w:tc>
        <w:tc>
          <w:tcPr>
            <w:tcW w:type="dxa" w:w="3456"/>
            <w:vAlign w:val="center"/>
            <w:tcMar>
              <w:top w:w="100" w:type="dxa"/>
              <w:left w:w="110" w:type="dxa"/>
              <w:bottom w:w="100" w:type="dxa"/>
              <w:right w:w="110" w:type="dxa"/>
            </w:tcMar>
            <w:shd w:fill="F1F5F9"/>
          </w:tcPr>
          <w:p>
            <w:pPr>
              <w:spacing w:after="0" w:before="0" w:line="252" w:lineRule="auto"/>
              <w:jc w:val="left"/>
            </w:pPr>
            <w:r>
              <w:rPr>
                <w:rFonts w:ascii="Calibri" w:hAnsi="Calibri"/>
                <w:b w:val="0"/>
                <w:color w:val="000000"/>
                <w:sz w:val="20"/>
              </w:rPr>
              <w:t>Alcance e visualizações por conteúdo</w:t>
            </w:r>
          </w:p>
        </w:tc>
        <w:tc>
          <w:tcPr>
            <w:tcW w:type="dxa" w:w="4939"/>
            <w:vAlign w:val="center"/>
            <w:tcMar>
              <w:top w:w="100" w:type="dxa"/>
              <w:left w:w="110" w:type="dxa"/>
              <w:bottom w:w="100" w:type="dxa"/>
              <w:right w:w="110" w:type="dxa"/>
            </w:tcMar>
            <w:shd w:fill="F1F5F9"/>
          </w:tcPr>
          <w:p>
            <w:pPr>
              <w:spacing w:after="0" w:before="0" w:line="252" w:lineRule="auto"/>
              <w:jc w:val="left"/>
            </w:pPr>
            <w:r>
              <w:rPr>
                <w:rFonts w:ascii="Calibri" w:hAnsi="Calibri"/>
                <w:b w:val="0"/>
                <w:color w:val="000000"/>
                <w:sz w:val="20"/>
              </w:rPr>
              <w:t>Dados nativos do perfil, com período de medição. Separar alcance de visualizações.</w:t>
            </w:r>
          </w:p>
        </w:tc>
      </w:tr>
      <w:tr>
        <w:trPr>
          <w:cantSplit/>
        </w:trPr>
        <w:tc>
          <w:tcPr>
            <w:tcW w:type="dxa" w:w="1771"/>
            <w:vAlign w:val="center"/>
            <w:tcMar>
              <w:top w:w="100" w:type="dxa"/>
              <w:left w:w="110" w:type="dxa"/>
              <w:bottom w:w="100" w:type="dxa"/>
              <w:right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Calibri" w:hAnsi="Calibri"/>
                <w:b w:val="0"/>
                <w:color w:val="000000"/>
                <w:sz w:val="20"/>
              </w:rPr>
              <w:t>Interação digital</w:t>
            </w:r>
          </w:p>
        </w:tc>
        <w:tc>
          <w:tcPr>
            <w:tcW w:type="dxa" w:w="3456"/>
            <w:vAlign w:val="center"/>
            <w:tcMar>
              <w:top w:w="100" w:type="dxa"/>
              <w:left w:w="110" w:type="dxa"/>
              <w:bottom w:w="100" w:type="dxa"/>
              <w:right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Calibri" w:hAnsi="Calibri"/>
                <w:b w:val="0"/>
                <w:color w:val="000000"/>
                <w:sz w:val="20"/>
              </w:rPr>
              <w:t>Curtidas, comentários, salvamentos, compartilhamentos e respostas</w:t>
            </w:r>
          </w:p>
        </w:tc>
        <w:tc>
          <w:tcPr>
            <w:tcW w:type="dxa" w:w="4939"/>
            <w:vAlign w:val="center"/>
            <w:tcMar>
              <w:top w:w="100" w:type="dxa"/>
              <w:left w:w="110" w:type="dxa"/>
              <w:bottom w:w="100" w:type="dxa"/>
              <w:right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Calibri" w:hAnsi="Calibri"/>
                <w:b w:val="0"/>
                <w:color w:val="000000"/>
                <w:sz w:val="20"/>
              </w:rPr>
              <w:t>Dados por publicação, conforme disponíveis na plataforma.</w:t>
            </w:r>
          </w:p>
        </w:tc>
      </w:tr>
      <w:tr>
        <w:trPr>
          <w:cantSplit/>
        </w:trPr>
        <w:tc>
          <w:tcPr>
            <w:tcW w:type="dxa" w:w="1771"/>
            <w:vAlign w:val="center"/>
            <w:tcMar>
              <w:top w:w="100" w:type="dxa"/>
              <w:left w:w="110" w:type="dxa"/>
              <w:bottom w:w="100" w:type="dxa"/>
              <w:right w:w="110" w:type="dxa"/>
            </w:tcMar>
            <w:shd w:fill="F1F5F9"/>
          </w:tcPr>
          <w:p>
            <w:pPr>
              <w:spacing w:after="0" w:before="0" w:line="252" w:lineRule="auto"/>
              <w:jc w:val="left"/>
            </w:pPr>
            <w:r>
              <w:rPr>
                <w:rFonts w:ascii="Calibri" w:hAnsi="Calibri"/>
                <w:b w:val="0"/>
                <w:color w:val="000000"/>
                <w:sz w:val="20"/>
              </w:rPr>
              <w:t>Interesse na marca</w:t>
            </w:r>
          </w:p>
        </w:tc>
        <w:tc>
          <w:tcPr>
            <w:tcW w:type="dxa" w:w="3456"/>
            <w:vAlign w:val="center"/>
            <w:tcMar>
              <w:top w:w="100" w:type="dxa"/>
              <w:left w:w="110" w:type="dxa"/>
              <w:bottom w:w="100" w:type="dxa"/>
              <w:right w:w="110" w:type="dxa"/>
            </w:tcMar>
            <w:shd w:fill="F1F5F9"/>
          </w:tcPr>
          <w:p>
            <w:pPr>
              <w:spacing w:after="0" w:before="0" w:line="252" w:lineRule="auto"/>
              <w:jc w:val="left"/>
            </w:pPr>
            <w:r>
              <w:rPr>
                <w:rFonts w:ascii="Calibri" w:hAnsi="Calibri"/>
                <w:b w:val="0"/>
                <w:color w:val="000000"/>
                <w:sz w:val="20"/>
              </w:rPr>
              <w:t>Cliques, cadastros voluntários e uso de cupom</w:t>
            </w:r>
          </w:p>
        </w:tc>
        <w:tc>
          <w:tcPr>
            <w:tcW w:type="dxa" w:w="4939"/>
            <w:vAlign w:val="center"/>
            <w:tcMar>
              <w:top w:w="100" w:type="dxa"/>
              <w:left w:w="110" w:type="dxa"/>
              <w:bottom w:w="100" w:type="dxa"/>
              <w:right w:w="110" w:type="dxa"/>
            </w:tcMar>
            <w:shd w:fill="F1F5F9"/>
          </w:tcPr>
          <w:p>
            <w:pPr>
              <w:spacing w:after="0" w:before="0" w:line="252" w:lineRule="auto"/>
              <w:jc w:val="left"/>
            </w:pPr>
            <w:r>
              <w:rPr>
                <w:rFonts w:ascii="Calibri" w:hAnsi="Calibri"/>
                <w:b w:val="0"/>
                <w:color w:val="000000"/>
                <w:sz w:val="20"/>
              </w:rPr>
              <w:t>Link ou QR Code por marca e origem; formulário ou controle de resgates.</w:t>
            </w:r>
          </w:p>
        </w:tc>
      </w:tr>
      <w:tr>
        <w:trPr>
          <w:cantSplit/>
        </w:trPr>
        <w:tc>
          <w:tcPr>
            <w:tcW w:type="dxa" w:w="1771"/>
            <w:vAlign w:val="center"/>
            <w:tcMar>
              <w:top w:w="100" w:type="dxa"/>
              <w:left w:w="110" w:type="dxa"/>
              <w:bottom w:w="100" w:type="dxa"/>
              <w:right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Calibri" w:hAnsi="Calibri"/>
                <w:b w:val="0"/>
                <w:color w:val="000000"/>
                <w:sz w:val="20"/>
              </w:rPr>
              <w:t>Participação na ativação</w:t>
            </w:r>
          </w:p>
        </w:tc>
        <w:tc>
          <w:tcPr>
            <w:tcW w:type="dxa" w:w="3456"/>
            <w:vAlign w:val="center"/>
            <w:tcMar>
              <w:top w:w="100" w:type="dxa"/>
              <w:left w:w="110" w:type="dxa"/>
              <w:bottom w:w="100" w:type="dxa"/>
              <w:right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Calibri" w:hAnsi="Calibri"/>
                <w:b w:val="0"/>
                <w:color w:val="000000"/>
                <w:sz w:val="20"/>
              </w:rPr>
              <w:t>Demonstrações, experimentações ou atendimentos realizados</w:t>
            </w:r>
          </w:p>
        </w:tc>
        <w:tc>
          <w:tcPr>
            <w:tcW w:type="dxa" w:w="4939"/>
            <w:vAlign w:val="center"/>
            <w:tcMar>
              <w:top w:w="100" w:type="dxa"/>
              <w:left w:w="110" w:type="dxa"/>
              <w:bottom w:w="100" w:type="dxa"/>
              <w:right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Calibri" w:hAnsi="Calibri"/>
                <w:b w:val="0"/>
                <w:color w:val="000000"/>
                <w:sz w:val="20"/>
              </w:rPr>
              <w:t>Contador ou registro da equipe. Informar se a medida conta pessoas únicas ou ações.</w:t>
            </w:r>
          </w:p>
        </w:tc>
      </w:tr>
      <w:tr>
        <w:trPr>
          <w:cantSplit/>
        </w:trPr>
        <w:tc>
          <w:tcPr>
            <w:tcW w:type="dxa" w:w="1771"/>
            <w:vAlign w:val="center"/>
            <w:tcMar>
              <w:top w:w="100" w:type="dxa"/>
              <w:left w:w="110" w:type="dxa"/>
              <w:bottom w:w="100" w:type="dxa"/>
              <w:right w:w="110" w:type="dxa"/>
            </w:tcMar>
            <w:shd w:fill="F1F5F9"/>
          </w:tcPr>
          <w:p>
            <w:pPr>
              <w:spacing w:after="0" w:before="0" w:line="252" w:lineRule="auto"/>
              <w:jc w:val="left"/>
            </w:pPr>
            <w:r>
              <w:rPr>
                <w:rFonts w:ascii="Calibri" w:hAnsi="Calibri"/>
                <w:b w:val="0"/>
                <w:color w:val="000000"/>
                <w:sz w:val="20"/>
              </w:rPr>
              <w:t>Execução do patrocínio</w:t>
            </w:r>
          </w:p>
        </w:tc>
        <w:tc>
          <w:tcPr>
            <w:tcW w:type="dxa" w:w="3456"/>
            <w:vAlign w:val="center"/>
            <w:tcMar>
              <w:top w:w="100" w:type="dxa"/>
              <w:left w:w="110" w:type="dxa"/>
              <w:bottom w:w="100" w:type="dxa"/>
              <w:right w:w="110" w:type="dxa"/>
            </w:tcMar>
            <w:shd w:fill="F1F5F9"/>
          </w:tcPr>
          <w:p>
            <w:pPr>
              <w:spacing w:after="0" w:before="0" w:line="252" w:lineRule="auto"/>
              <w:jc w:val="left"/>
            </w:pPr>
            <w:r>
              <w:rPr>
                <w:rFonts w:ascii="Calibri" w:hAnsi="Calibri"/>
                <w:b w:val="0"/>
                <w:color w:val="000000"/>
                <w:sz w:val="20"/>
              </w:rPr>
              <w:t>Itens contratados e itens entregues</w:t>
            </w:r>
          </w:p>
        </w:tc>
        <w:tc>
          <w:tcPr>
            <w:tcW w:type="dxa" w:w="4939"/>
            <w:vAlign w:val="center"/>
            <w:tcMar>
              <w:top w:w="100" w:type="dxa"/>
              <w:left w:w="110" w:type="dxa"/>
              <w:bottom w:w="100" w:type="dxa"/>
              <w:right w:w="110" w:type="dxa"/>
            </w:tcMar>
            <w:shd w:fill="F1F5F9"/>
          </w:tcPr>
          <w:p>
            <w:pPr>
              <w:spacing w:after="0" w:before="0" w:line="252" w:lineRule="auto"/>
              <w:jc w:val="left"/>
            </w:pPr>
            <w:r>
              <w:rPr>
                <w:rFonts w:ascii="Calibri" w:hAnsi="Calibri"/>
                <w:b w:val="0"/>
                <w:color w:val="000000"/>
                <w:sz w:val="20"/>
              </w:rPr>
              <w:t>Fotos das peças e espaços, links das publicações e registro das menções.</w:t>
            </w:r>
          </w:p>
        </w:tc>
      </w:tr>
    </w:tbl>
    <w:p>
      <w:pPr>
        <w:spacing w:after="0" w:before="0" w:line="240" w:lineRule="auto"/>
      </w:pPr>
      <w:r>
        <w:rPr>
          <w:sz w:val="6"/>
        </w:rPr>
      </w:r>
    </w:p>
    <w:p>
      <w:pPr>
        <w:pStyle w:val="Heading2"/>
      </w:pPr>
      <w:r>
        <w:t>Leitura dos resultados</w:t>
      </w:r>
    </w:p>
    <w:p>
      <w:r>
        <w:t>Pessoas alcançadas podem se repetir entre publicações: a soma dos alcances não deve ser apresentada como público único da campanha. Interações e cadastros também não equivalem a vendas. Receita atribuída só entra no relatório quando houver rastreamento e dados fornecidos pela marca.</w:t>
      </w:r>
    </w:p>
    <w:p>
      <w:pPr>
        <w:spacing w:line="252" w:lineRule="auto"/>
      </w:pPr>
      <w:r>
        <w:rPr>
          <w:sz w:val="19"/>
        </w:rPr>
        <w:t>Cadastros para relacionamento com a marca serão voluntários. A lista geral de inscritos e informações de atendimentos profissionais não integram a entrega comercial. Para C, os indicadores das peças coletivas serão identificados como resultados do conteúdo compartilhado.</w:t>
      </w:r>
    </w:p>
    <w:p>
      <w:r>
        <w:br w:type="page"/>
      </w:r>
    </w:p>
    <w:p>
      <w:pPr>
        <w:pStyle w:val="Heading1"/>
      </w:pPr>
      <w:r>
        <w:t>Condições e definições comerciais</w:t>
      </w:r>
    </w:p>
    <w:p>
      <w:pPr>
        <w:pStyle w:val="Heading2"/>
      </w:pPr>
      <w:r>
        <w:t>Responsabilidades propostas</w:t>
      </w:r>
    </w:p>
    <w:p>
      <w:pPr>
        <w:pStyle w:val="ListBullet"/>
        <w:spacing w:after="120" w:line="259" w:lineRule="auto"/>
      </w:pPr>
      <w:r>
        <w:rPr>
          <w:b/>
        </w:rPr>
        <w:t xml:space="preserve">Organização do LONGEVUS e Pace Lab. </w:t>
      </w:r>
      <w:r>
        <w:t>Reservar as áreas, produzir e instalar as peças de comunicação previstas na cota, publicar os conteúdos, realizar os registros e entregar o relatório. Incluir esses custos na futura precificação.</w:t>
      </w:r>
    </w:p>
    <w:p>
      <w:pPr>
        <w:pStyle w:val="ListBullet"/>
        <w:spacing w:after="120" w:line="259" w:lineRule="auto"/>
      </w:pPr>
      <w:r>
        <w:rPr>
          <w:b/>
        </w:rPr>
        <w:t xml:space="preserve">Marca parceira. </w:t>
      </w:r>
      <w:r>
        <w:t>Fornecer logo e conteúdo aprovado, equipe, montagem e mobiliário do stand ou balcão, produtos, amostras e materiais próprios. Necessidades de energia, equipamentos e operação serão dimensionadas antes da confirmação.</w:t>
      </w:r>
    </w:p>
    <w:p>
      <w:pPr>
        <w:pStyle w:val="ListBullet"/>
        <w:spacing w:after="120" w:line="259" w:lineRule="auto"/>
      </w:pPr>
      <w:r>
        <w:rPr>
          <w:b/>
        </w:rPr>
        <w:t xml:space="preserve">Participação dos profissionais. </w:t>
      </w:r>
      <w:r>
        <w:t>Combinar horários, formato das aulas, capacidade dos atendimentos e explicações das estações. A presença do Dr. Marcos Ramalho no evento não constitui recomendação comercial automática de produtos.</w:t>
      </w:r>
    </w:p>
    <w:p>
      <w:pPr>
        <w:pStyle w:val="Heading2"/>
      </w:pPr>
      <w:r>
        <w:t>Composição do investimento</w:t>
      </w:r>
    </w:p>
    <w:p>
      <w:r>
        <w:t>Os valores de A, B e C serão definidos após o orçamento do evento, a confirmação do público e a validação das áreas e entregas. Considerar custos de produção e atendimento de cada cota, espaço ocupado e valor dos direitos exclusivos. O preço de R$ 300 é do ingresso e não determina o valor do patrocínio.</w:t>
      </w:r>
    </w:p>
    <w:p>
      <w:r>
        <w:t>Cortesias, credenciais de equipe, condições de pagamento e eventual permuta serão definidas separadamente. Produtos ou serviços oferecidos em permuta não geram enquadramento automático em uma cota. Venda de produtos e operação de bebidas precisam de acordo específico com a organização.</w:t>
      </w:r>
    </w:p>
    <w:p>
      <w:pPr>
        <w:pStyle w:val="Heading2"/>
      </w:pPr>
      <w:r>
        <w:t>Definições para fechar a proposta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color="D9D9D9"/>
          <w:left w:val="single" w:sz="5" w:color="D9D9D9"/>
          <w:bottom w:val="single" w:sz="5" w:color="D9D9D9"/>
          <w:right w:val="single" w:sz="5" w:color="D9D9D9"/>
          <w:insideH w:val="single" w:sz="5" w:color="D9D9D9"/>
          <w:insideV w:val="single" w:sz="5" w:color="D9D9D9"/>
        </w:tblBorders>
      </w:tblPr>
      <w:tblGrid>
        <w:gridCol w:w="3571"/>
        <w:gridCol w:w="6595"/>
      </w:tblGrid>
      <w:tr>
        <w:trPr>
          <w:cantSplit/>
          <w:tblHeader/>
        </w:trPr>
        <w:tc>
          <w:tcPr>
            <w:tcW w:type="dxa" w:w="3571"/>
            <w:vAlign w:val="center"/>
            <w:tcMar>
              <w:top w:w="100" w:type="dxa"/>
              <w:left w:w="110" w:type="dxa"/>
              <w:bottom w:w="100" w:type="dxa"/>
              <w:right w:w="110" w:type="dxa"/>
            </w:tcMar>
            <w:shd w:fill="16385E"/>
          </w:tcPr>
          <w:p>
            <w:pPr>
              <w:spacing w:after="0" w:before="0" w:line="252" w:lineRule="auto"/>
              <w:jc w:val="left"/>
            </w:pPr>
            <w:r>
              <w:rPr>
                <w:rFonts w:ascii="Calibri" w:hAnsi="Calibri"/>
                <w:b/>
                <w:color w:val="FFFFFF"/>
                <w:sz w:val="20"/>
              </w:rPr>
              <w:t>Definição</w:t>
            </w:r>
          </w:p>
        </w:tc>
        <w:tc>
          <w:tcPr>
            <w:tcW w:type="dxa" w:w="6595"/>
            <w:vAlign w:val="center"/>
            <w:tcMar>
              <w:top w:w="100" w:type="dxa"/>
              <w:left w:w="110" w:type="dxa"/>
              <w:bottom w:w="100" w:type="dxa"/>
              <w:right w:w="110" w:type="dxa"/>
            </w:tcMar>
            <w:shd w:fill="16385E"/>
          </w:tcPr>
          <w:p>
            <w:pPr>
              <w:spacing w:after="0" w:before="0" w:line="252" w:lineRule="auto"/>
              <w:jc w:val="left"/>
            </w:pPr>
            <w:r>
              <w:rPr>
                <w:rFonts w:ascii="Calibri" w:hAnsi="Calibri"/>
                <w:b/>
                <w:color w:val="FFFFFF"/>
                <w:sz w:val="20"/>
              </w:rPr>
              <w:t>Aplicação</w:t>
            </w:r>
          </w:p>
        </w:tc>
      </w:tr>
      <w:tr>
        <w:trPr>
          <w:cantSplit/>
        </w:trPr>
        <w:tc>
          <w:tcPr>
            <w:tcW w:type="dxa" w:w="3571"/>
            <w:vAlign w:val="center"/>
            <w:tcMar>
              <w:top w:w="100" w:type="dxa"/>
              <w:left w:w="110" w:type="dxa"/>
              <w:bottom w:w="100" w:type="dxa"/>
              <w:right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Calibri" w:hAnsi="Calibri"/>
                <w:b w:val="0"/>
                <w:color w:val="000000"/>
                <w:sz w:val="20"/>
              </w:rPr>
              <w:t>Horários das atividades</w:t>
            </w:r>
          </w:p>
        </w:tc>
        <w:tc>
          <w:tcPr>
            <w:tcW w:type="dxa" w:w="6595"/>
            <w:vAlign w:val="center"/>
            <w:tcMar>
              <w:top w:w="100" w:type="dxa"/>
              <w:left w:w="110" w:type="dxa"/>
              <w:bottom w:w="100" w:type="dxa"/>
              <w:right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Calibri" w:hAnsi="Calibri"/>
                <w:b w:val="0"/>
                <w:color w:val="000000"/>
                <w:sz w:val="20"/>
              </w:rPr>
              <w:t>Início às 6h em 28/11, no Vivare Beach Club. Concluir a sequência e a duração das atividades.</w:t>
            </w:r>
          </w:p>
        </w:tc>
      </w:tr>
      <w:tr>
        <w:trPr>
          <w:cantSplit/>
        </w:trPr>
        <w:tc>
          <w:tcPr>
            <w:tcW w:type="dxa" w:w="3571"/>
            <w:vAlign w:val="center"/>
            <w:tcMar>
              <w:top w:w="100" w:type="dxa"/>
              <w:left w:w="110" w:type="dxa"/>
              <w:bottom w:w="100" w:type="dxa"/>
              <w:right w:w="110" w:type="dxa"/>
            </w:tcMar>
            <w:shd w:fill="F1F5F9"/>
          </w:tcPr>
          <w:p>
            <w:pPr>
              <w:spacing w:after="0" w:before="0" w:line="252" w:lineRule="auto"/>
              <w:jc w:val="left"/>
            </w:pPr>
            <w:r>
              <w:rPr>
                <w:rFonts w:ascii="Calibri" w:hAnsi="Calibri"/>
                <w:b w:val="0"/>
                <w:color w:val="000000"/>
                <w:sz w:val="20"/>
              </w:rPr>
              <w:t>Capacidade e previsão de inscritos</w:t>
            </w:r>
          </w:p>
        </w:tc>
        <w:tc>
          <w:tcPr>
            <w:tcW w:type="dxa" w:w="6595"/>
            <w:vAlign w:val="center"/>
            <w:tcMar>
              <w:top w:w="100" w:type="dxa"/>
              <w:left w:w="110" w:type="dxa"/>
              <w:bottom w:w="100" w:type="dxa"/>
              <w:right w:w="110" w:type="dxa"/>
            </w:tcMar>
            <w:shd w:fill="F1F5F9"/>
          </w:tcPr>
          <w:p>
            <w:pPr>
              <w:spacing w:after="0" w:before="0" w:line="252" w:lineRule="auto"/>
              <w:jc w:val="left"/>
            </w:pPr>
            <w:r>
              <w:rPr>
                <w:rFonts w:ascii="Calibri" w:hAnsi="Calibri"/>
                <w:b w:val="0"/>
                <w:color w:val="000000"/>
                <w:sz w:val="20"/>
              </w:rPr>
              <w:t>Dimensionar alimentação, atividades, atendimentos e espaços de parceiros.</w:t>
            </w:r>
          </w:p>
        </w:tc>
      </w:tr>
      <w:tr>
        <w:trPr>
          <w:cantSplit/>
        </w:trPr>
        <w:tc>
          <w:tcPr>
            <w:tcW w:type="dxa" w:w="3571"/>
            <w:vAlign w:val="center"/>
            <w:tcMar>
              <w:top w:w="100" w:type="dxa"/>
              <w:left w:w="110" w:type="dxa"/>
              <w:bottom w:w="100" w:type="dxa"/>
              <w:right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Calibri" w:hAnsi="Calibri"/>
                <w:b w:val="0"/>
                <w:color w:val="000000"/>
                <w:sz w:val="20"/>
              </w:rPr>
              <w:t>Dados do público e das redes da Pace Lab</w:t>
            </w:r>
          </w:p>
        </w:tc>
        <w:tc>
          <w:tcPr>
            <w:tcW w:type="dxa" w:w="6595"/>
            <w:vAlign w:val="center"/>
            <w:tcMar>
              <w:top w:w="100" w:type="dxa"/>
              <w:left w:w="110" w:type="dxa"/>
              <w:bottom w:w="100" w:type="dxa"/>
              <w:right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Calibri" w:hAnsi="Calibri"/>
                <w:b w:val="0"/>
                <w:color w:val="000000"/>
                <w:sz w:val="20"/>
              </w:rPr>
              <w:t>Apresentar perfil e desempenho observado, sem estimativas de alcance sem base.</w:t>
            </w:r>
          </w:p>
        </w:tc>
      </w:tr>
      <w:tr>
        <w:trPr>
          <w:cantSplit/>
        </w:trPr>
        <w:tc>
          <w:tcPr>
            <w:tcW w:type="dxa" w:w="3571"/>
            <w:vAlign w:val="center"/>
            <w:tcMar>
              <w:top w:w="100" w:type="dxa"/>
              <w:left w:w="110" w:type="dxa"/>
              <w:bottom w:w="100" w:type="dxa"/>
              <w:right w:w="110" w:type="dxa"/>
            </w:tcMar>
            <w:shd w:fill="F1F5F9"/>
          </w:tcPr>
          <w:p>
            <w:pPr>
              <w:spacing w:after="0" w:before="0" w:line="252" w:lineRule="auto"/>
              <w:jc w:val="left"/>
            </w:pPr>
            <w:r>
              <w:rPr>
                <w:rFonts w:ascii="Calibri" w:hAnsi="Calibri"/>
                <w:b w:val="0"/>
                <w:color w:val="000000"/>
                <w:sz w:val="20"/>
              </w:rPr>
              <w:t>Planta, vagas e custos de produção</w:t>
            </w:r>
          </w:p>
        </w:tc>
        <w:tc>
          <w:tcPr>
            <w:tcW w:type="dxa" w:w="6595"/>
            <w:vAlign w:val="center"/>
            <w:tcMar>
              <w:top w:w="100" w:type="dxa"/>
              <w:left w:w="110" w:type="dxa"/>
              <w:bottom w:w="100" w:type="dxa"/>
              <w:right w:w="110" w:type="dxa"/>
            </w:tcMar>
            <w:shd w:fill="F1F5F9"/>
          </w:tcPr>
          <w:p>
            <w:pPr>
              <w:spacing w:after="0" w:before="0" w:line="252" w:lineRule="auto"/>
              <w:jc w:val="left"/>
            </w:pPr>
            <w:r>
              <w:rPr>
                <w:rFonts w:ascii="Calibri" w:hAnsi="Calibri"/>
                <w:b w:val="0"/>
                <w:color w:val="000000"/>
                <w:sz w:val="20"/>
              </w:rPr>
              <w:t>Confirmar os limites sugeridos de 1 A, 3 B e 4 C e precificar os pacotes.</w:t>
            </w:r>
          </w:p>
        </w:tc>
      </w:tr>
      <w:tr>
        <w:trPr>
          <w:cantSplit/>
        </w:trPr>
        <w:tc>
          <w:tcPr>
            <w:tcW w:type="dxa" w:w="3571"/>
            <w:vAlign w:val="center"/>
            <w:tcMar>
              <w:top w:w="100" w:type="dxa"/>
              <w:left w:w="110" w:type="dxa"/>
              <w:bottom w:w="100" w:type="dxa"/>
              <w:right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Calibri" w:hAnsi="Calibri"/>
                <w:b w:val="0"/>
                <w:color w:val="000000"/>
                <w:sz w:val="20"/>
              </w:rPr>
              <w:t>Escopo do Dr. Marcos e demais profissionais</w:t>
            </w:r>
          </w:p>
        </w:tc>
        <w:tc>
          <w:tcPr>
            <w:tcW w:type="dxa" w:w="6595"/>
            <w:vAlign w:val="center"/>
            <w:tcMar>
              <w:top w:w="100" w:type="dxa"/>
              <w:left w:w="110" w:type="dxa"/>
              <w:bottom w:w="100" w:type="dxa"/>
              <w:right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Calibri" w:hAnsi="Calibri"/>
                <w:b w:val="0"/>
                <w:color w:val="000000"/>
                <w:sz w:val="20"/>
              </w:rPr>
              <w:t>Concluir a programação e combinar eventual conteúdo em canais próprios.</w:t>
            </w:r>
          </w:p>
        </w:tc>
      </w:tr>
    </w:tbl>
    <w:p>
      <w:pPr>
        <w:spacing w:after="0" w:before="0" w:line="240" w:lineRule="auto"/>
      </w:pPr>
      <w:r>
        <w:rPr>
          <w:sz w:val="6"/>
        </w:rPr>
      </w:r>
    </w:p>
    <w:p>
      <w:pPr>
        <w:pStyle w:val="Heading2"/>
      </w:pPr>
      <w:r>
        <w:t>Apresentação digital do evento</w:t>
      </w:r>
    </w:p>
    <w:p>
      <w:pPr>
        <w:spacing w:line="252" w:lineRule="auto"/>
      </w:pPr>
      <w:r>
        <w:rPr>
          <w:sz w:val="19"/>
        </w:rPr>
        <w:t>A apresentação digital reúne as experiências, os ambientes, o kit, os materiais e as cotas. Articulação comercial: Harrison Fagundes, marketing da Pace Lab.</w:t>
      </w:r>
    </w:p>
    <w:p>
      <w:pPr>
        <w:pStyle w:val="Heading2"/>
      </w:pPr>
      <w:r>
        <w:t>Referências de estruturação</w:t>
      </w:r>
    </w:p>
    <w:p>
      <w:pPr>
        <w:spacing w:line="252" w:lineRule="auto"/>
      </w:pPr>
      <w:r>
        <w:rPr>
          <w:sz w:val="19"/>
        </w:rPr>
        <w:t xml:space="preserve">A organização por objetivos, pontos de contato e indicadores tem como referências: </w:t>
      </w:r>
      <w:hyperlink r:id="rId10">
        <w:r>
          <w:rPr>
            <w:color w:val="16385E"/>
            <w:sz w:val="18"/>
          </w:rPr>
          <w:t>Cvent sobre captação de patrocinadores</w:t>
        </w:r>
      </w:hyperlink>
      <w:r>
        <w:t xml:space="preserve"> e </w:t>
      </w:r>
      <w:hyperlink r:id="rId11">
        <w:r>
          <w:rPr>
            <w:color w:val="16385E"/>
            <w:sz w:val="18"/>
          </w:rPr>
          <w:t>Cvent sobre estratégia e medição de eventos</w:t>
        </w:r>
      </w:hyperlink>
      <w:r>
        <w:rPr>
          <w:sz w:val="18"/>
        </w:rPr>
        <w:t>. As cotas e quantidades deste documento são recomendações específicas para o LONGEVUS. Consulta em 9 de setembro de 2026.</w:t>
      </w:r>
    </w:p>
    <w:sectPr w:rsidR="00FC693F" w:rsidRPr="0006063C" w:rsidSect="00034616">
      <w:footerReference w:type="default" r:id="rId9"/>
      <w:pgSz w:w="12240" w:h="15840"/>
      <w:pgMar w:top="1008" w:right="1037" w:bottom="936" w:left="1037" w:header="720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sz w:val="16"/>
      </w:rPr>
      <w:t xml:space="preserve">LONGEVUS   |   </w:t>
    </w:r>
    <w:r>
      <w:rPr>
        <w:sz w:val="16"/>
      </w:rPr>
      <w:fldChar w:fldCharType="begin"/>
    </w:r>
    <w:r>
      <w:rPr>
        <w:sz w:val="16"/>
      </w:rPr>
      <w:instrText>PAGE</w:instrText>
    </w:r>
    <w:r>
      <w:rPr>
        <w:sz w:val="16"/>
      </w:rPr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line="264" w:lineRule="auto" w:after="140"/>
    </w:pPr>
    <w:rPr>
      <w:rFonts w:ascii="Calibri" w:hAnsi="Calibri"/>
      <w:color w:val="00000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0" w:after="240"/>
      <w:outlineLvl w:val="0"/>
    </w:pPr>
    <w:rPr>
      <w:rFonts w:asciiTheme="majorHAnsi" w:eastAsiaTheme="majorEastAsia" w:hAnsiTheme="majorHAnsi" w:cstheme="majorBidi" w:ascii="Calibri" w:hAnsi="Calibri"/>
      <w:b/>
      <w:bCs/>
      <w:color w:val="000000"/>
      <w:sz w:val="4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20" w:after="100"/>
      <w:outlineLvl w:val="1"/>
    </w:pPr>
    <w:rPr>
      <w:rFonts w:asciiTheme="majorHAnsi" w:eastAsiaTheme="majorEastAsia" w:hAnsiTheme="majorHAnsi" w:cstheme="majorBidi" w:ascii="Calibri" w:hAnsi="Calibri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Calibri" w:hAnsi="Calibri"/>
      <w:b/>
      <w:bCs/>
      <w:color w:val="00000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240" w:line="240" w:lineRule="auto"/>
      <w:contextualSpacing/>
    </w:pPr>
    <w:rPr>
      <w:rFonts w:asciiTheme="majorHAnsi" w:eastAsiaTheme="majorEastAsia" w:hAnsiTheme="majorHAnsi" w:cstheme="majorBidi" w:ascii="Calibri" w:hAnsi="Calibri"/>
      <w:b/>
      <w:color w:val="000000"/>
      <w:spacing w:val="5"/>
      <w:kern w:val="28"/>
      <w:sz w:val="5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  <w:spacing w:after="300"/>
    </w:pPr>
    <w:rPr>
      <w:rFonts w:asciiTheme="majorHAnsi" w:eastAsiaTheme="majorEastAsia" w:hAnsiTheme="majorHAnsi" w:cstheme="majorBidi" w:ascii="Calibri" w:hAnsi="Calibri"/>
      <w:i/>
      <w:iCs/>
      <w:color w:val="000000"/>
      <w:spacing w:val="15"/>
      <w:sz w:val="32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rFonts w:ascii="Calibri" w:hAnsi="Calibri"/>
      <w:b/>
      <w:bCs/>
      <w:color w:val="000000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hyperlink" Target="https://www.cvent.com/en/blog/events/how-to-get-event-sponsors" TargetMode="External"/><Relationship Id="rId11" Type="http://schemas.openxmlformats.org/officeDocument/2006/relationships/hyperlink" Target="https://www.cvent.com/en/blog/events/event-strategy-gui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Proposta comercial de patrocínio do LONGEVUS</dc:title>
  <dc:subject>Evento do Dr. Marcos Ramalho em parceria com a Pace Lab</dc:subject>
  <dc:creator>Organização LONGEVUS</dc:creator>
  <cp:keywords>Pace Lab, longevidade, patrocínio, proposta comercial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